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796B" w14:textId="77777777" w:rsidR="00C440F1" w:rsidRDefault="00C440F1" w:rsidP="00F849A4">
      <w:pPr>
        <w:spacing w:after="0" w:line="240" w:lineRule="auto"/>
        <w:jc w:val="center"/>
        <w:rPr>
          <w:rFonts w:ascii="Palatino Linotype" w:eastAsiaTheme="majorEastAsia" w:hAnsi="Palatino Linotype" w:cstheme="minorHAnsi"/>
          <w:b/>
          <w:sz w:val="80"/>
          <w:szCs w:val="80"/>
        </w:rPr>
      </w:pPr>
    </w:p>
    <w:p w14:paraId="4B178BE1" w14:textId="77777777" w:rsidR="00C440F1" w:rsidRDefault="00C440F1" w:rsidP="00F849A4">
      <w:pPr>
        <w:spacing w:after="0" w:line="240" w:lineRule="auto"/>
        <w:jc w:val="center"/>
        <w:rPr>
          <w:rFonts w:ascii="Palatino Linotype" w:eastAsiaTheme="majorEastAsia" w:hAnsi="Palatino Linotype" w:cstheme="minorHAnsi"/>
          <w:b/>
          <w:sz w:val="80"/>
          <w:szCs w:val="80"/>
        </w:rPr>
      </w:pPr>
    </w:p>
    <w:p w14:paraId="6FB1DAD1" w14:textId="0FBB0A11" w:rsidR="00C440F1" w:rsidRDefault="00C440F1" w:rsidP="00F849A4">
      <w:pPr>
        <w:spacing w:after="0" w:line="240" w:lineRule="auto"/>
        <w:jc w:val="center"/>
        <w:rPr>
          <w:rFonts w:ascii="Palatino Linotype" w:eastAsiaTheme="majorEastAsia" w:hAnsi="Palatino Linotype" w:cstheme="minorHAnsi"/>
          <w:b/>
          <w:sz w:val="80"/>
          <w:szCs w:val="80"/>
        </w:rPr>
      </w:pPr>
    </w:p>
    <w:p w14:paraId="2316E55E" w14:textId="712ABC44" w:rsidR="00AA12F3" w:rsidRDefault="00C440F1" w:rsidP="00F849A4">
      <w:pPr>
        <w:spacing w:after="0" w:line="240" w:lineRule="auto"/>
        <w:jc w:val="center"/>
        <w:rPr>
          <w:rFonts w:ascii="Palatino Linotype" w:eastAsiaTheme="majorEastAsia" w:hAnsi="Palatino Linotype" w:cstheme="minorHAnsi"/>
          <w:b/>
          <w:sz w:val="80"/>
          <w:szCs w:val="80"/>
        </w:rPr>
      </w:pPr>
      <w:r>
        <w:rPr>
          <w:rFonts w:ascii="Palatino Linotype" w:eastAsiaTheme="majorEastAsia" w:hAnsi="Palatino Linotype" w:cstheme="minorHAnsi"/>
          <w:b/>
          <w:noProof/>
          <w:sz w:val="80"/>
          <w:szCs w:val="80"/>
        </w:rPr>
        <w:drawing>
          <wp:inline distT="0" distB="0" distL="0" distR="0" wp14:anchorId="0F8567C7" wp14:editId="46BBA0E6">
            <wp:extent cx="2529840" cy="1417320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4443" cy="141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E33E0" w14:textId="77777777" w:rsidR="00F849A4" w:rsidRPr="006C2A0D" w:rsidRDefault="00F849A4" w:rsidP="00F849A4">
      <w:pPr>
        <w:spacing w:after="0" w:line="240" w:lineRule="auto"/>
        <w:jc w:val="center"/>
        <w:rPr>
          <w:rFonts w:ascii="Palatino Linotype" w:eastAsiaTheme="majorEastAsia" w:hAnsi="Palatino Linotype" w:cstheme="minorHAnsi"/>
          <w:b/>
          <w:sz w:val="72"/>
          <w:szCs w:val="72"/>
        </w:rPr>
      </w:pPr>
    </w:p>
    <w:p w14:paraId="3A97CBDE" w14:textId="2498AA65" w:rsidR="00A5113B" w:rsidRPr="00C440F1" w:rsidRDefault="00C440F1" w:rsidP="00C440F1">
      <w:pPr>
        <w:spacing w:after="0" w:line="240" w:lineRule="auto"/>
        <w:jc w:val="center"/>
        <w:rPr>
          <w:rFonts w:ascii="Palatino Linotype" w:eastAsiaTheme="majorEastAsia" w:hAnsi="Palatino Linotype" w:cstheme="minorHAnsi"/>
          <w:b/>
          <w:sz w:val="36"/>
          <w:szCs w:val="36"/>
        </w:rPr>
      </w:pPr>
      <w:r w:rsidRPr="00C440F1">
        <w:rPr>
          <w:rFonts w:ascii="Palatino Linotype" w:eastAsiaTheme="majorEastAsia" w:hAnsi="Palatino Linotype" w:cstheme="minorHAnsi"/>
          <w:b/>
          <w:sz w:val="36"/>
          <w:szCs w:val="36"/>
        </w:rPr>
        <w:t>POLÍTICA DE PRIVACIDADE DE DADOS</w:t>
      </w:r>
    </w:p>
    <w:p w14:paraId="0EFD02B8" w14:textId="1B5E07E4" w:rsidR="000A5D02" w:rsidRPr="006C2A0D" w:rsidRDefault="000A5D02" w:rsidP="00F849A4">
      <w:pPr>
        <w:spacing w:after="0" w:line="240" w:lineRule="auto"/>
        <w:rPr>
          <w:rFonts w:ascii="Palatino Linotype" w:eastAsiaTheme="majorEastAsia" w:hAnsi="Palatino Linotype" w:cstheme="minorHAnsi"/>
          <w:b/>
          <w:sz w:val="24"/>
          <w:szCs w:val="26"/>
        </w:rPr>
      </w:pPr>
    </w:p>
    <w:p w14:paraId="01616E67" w14:textId="5B8F7030" w:rsidR="000A5D02" w:rsidRPr="00C440F1" w:rsidRDefault="00C440F1" w:rsidP="00C440F1">
      <w:pPr>
        <w:spacing w:after="0" w:line="240" w:lineRule="auto"/>
        <w:jc w:val="center"/>
        <w:rPr>
          <w:rFonts w:ascii="Palatino Linotype" w:eastAsiaTheme="majorEastAsia" w:hAnsi="Palatino Linotype" w:cstheme="minorHAnsi"/>
          <w:b/>
          <w:sz w:val="32"/>
          <w:szCs w:val="32"/>
        </w:rPr>
      </w:pPr>
      <w:r w:rsidRPr="00C440F1">
        <w:rPr>
          <w:rFonts w:ascii="Palatino Linotype" w:eastAsiaTheme="majorEastAsia" w:hAnsi="Palatino Linotype" w:cstheme="minorHAnsi"/>
          <w:b/>
          <w:sz w:val="32"/>
          <w:szCs w:val="32"/>
        </w:rPr>
        <w:t>1º Tabelionato de Notas e Protesto e Ofício de Registro de Imóveis da Comarca de Araranguá/SC</w:t>
      </w:r>
    </w:p>
    <w:p w14:paraId="440AC824" w14:textId="0FCDACDA" w:rsidR="006A4A1D" w:rsidRDefault="006A4A1D" w:rsidP="00F849A4">
      <w:pPr>
        <w:spacing w:after="0" w:line="240" w:lineRule="auto"/>
        <w:rPr>
          <w:rFonts w:ascii="Palatino Linotype" w:eastAsiaTheme="majorEastAsia" w:hAnsi="Palatino Linotype" w:cstheme="minorHAnsi"/>
          <w:b/>
          <w:sz w:val="24"/>
          <w:szCs w:val="26"/>
        </w:rPr>
      </w:pPr>
    </w:p>
    <w:p w14:paraId="606CD799" w14:textId="4A97EF75" w:rsidR="00C440F1" w:rsidRDefault="00C440F1" w:rsidP="00F849A4">
      <w:pPr>
        <w:spacing w:after="0" w:line="240" w:lineRule="auto"/>
        <w:rPr>
          <w:rFonts w:ascii="Palatino Linotype" w:eastAsiaTheme="majorEastAsia" w:hAnsi="Palatino Linotype" w:cstheme="minorHAnsi"/>
          <w:b/>
          <w:sz w:val="24"/>
          <w:szCs w:val="26"/>
        </w:rPr>
      </w:pPr>
    </w:p>
    <w:p w14:paraId="41CA4467" w14:textId="77777777" w:rsidR="00C440F1" w:rsidRDefault="00C440F1" w:rsidP="00F849A4">
      <w:pPr>
        <w:spacing w:after="0" w:line="240" w:lineRule="auto"/>
        <w:rPr>
          <w:rFonts w:ascii="Palatino Linotype" w:eastAsiaTheme="majorEastAsia" w:hAnsi="Palatino Linotype" w:cstheme="minorHAnsi"/>
          <w:b/>
          <w:sz w:val="24"/>
          <w:szCs w:val="26"/>
        </w:rPr>
      </w:pPr>
    </w:p>
    <w:p w14:paraId="4023970B" w14:textId="30665A89" w:rsidR="006A4A1D" w:rsidRDefault="006A4A1D" w:rsidP="00F849A4">
      <w:pPr>
        <w:spacing w:after="0" w:line="240" w:lineRule="auto"/>
        <w:rPr>
          <w:rFonts w:ascii="Palatino Linotype" w:eastAsiaTheme="majorEastAsia" w:hAnsi="Palatino Linotype" w:cstheme="minorHAnsi"/>
          <w:b/>
          <w:sz w:val="24"/>
          <w:szCs w:val="26"/>
        </w:rPr>
      </w:pPr>
    </w:p>
    <w:p w14:paraId="61AC15EE" w14:textId="21D23556" w:rsidR="006A4A1D" w:rsidRDefault="006A4A1D" w:rsidP="00F849A4">
      <w:pPr>
        <w:spacing w:after="0" w:line="240" w:lineRule="auto"/>
        <w:rPr>
          <w:rFonts w:ascii="Palatino Linotype" w:eastAsiaTheme="majorEastAsia" w:hAnsi="Palatino Linotype" w:cstheme="minorHAnsi"/>
          <w:b/>
          <w:sz w:val="24"/>
          <w:szCs w:val="26"/>
        </w:rPr>
      </w:pPr>
    </w:p>
    <w:p w14:paraId="410A2850" w14:textId="370C8F9B" w:rsidR="000A5D02" w:rsidRDefault="000A5D02" w:rsidP="00F849A4">
      <w:pPr>
        <w:spacing w:after="0" w:line="240" w:lineRule="auto"/>
        <w:rPr>
          <w:rFonts w:ascii="Palatino Linotype" w:eastAsiaTheme="majorEastAsia" w:hAnsi="Palatino Linotype" w:cstheme="minorHAnsi"/>
          <w:b/>
          <w:sz w:val="24"/>
          <w:szCs w:val="26"/>
        </w:rPr>
      </w:pPr>
    </w:p>
    <w:p w14:paraId="77EDEE7E" w14:textId="7DE35905" w:rsidR="00C440F1" w:rsidRDefault="00C440F1" w:rsidP="00F849A4">
      <w:pPr>
        <w:spacing w:after="0" w:line="240" w:lineRule="auto"/>
        <w:rPr>
          <w:rFonts w:ascii="Palatino Linotype" w:eastAsiaTheme="majorEastAsia" w:hAnsi="Palatino Linotype" w:cstheme="minorHAnsi"/>
          <w:b/>
          <w:sz w:val="24"/>
          <w:szCs w:val="26"/>
        </w:rPr>
      </w:pPr>
    </w:p>
    <w:p w14:paraId="15DB21C2" w14:textId="12AADC95" w:rsidR="00C440F1" w:rsidRDefault="00C440F1" w:rsidP="00F849A4">
      <w:pPr>
        <w:spacing w:after="0" w:line="240" w:lineRule="auto"/>
        <w:rPr>
          <w:rFonts w:ascii="Palatino Linotype" w:eastAsiaTheme="majorEastAsia" w:hAnsi="Palatino Linotype" w:cstheme="minorHAnsi"/>
          <w:b/>
          <w:sz w:val="24"/>
          <w:szCs w:val="26"/>
        </w:rPr>
      </w:pPr>
    </w:p>
    <w:p w14:paraId="3FDCF015" w14:textId="19F33910" w:rsidR="00C440F1" w:rsidRDefault="00C440F1" w:rsidP="00F849A4">
      <w:pPr>
        <w:spacing w:after="0" w:line="240" w:lineRule="auto"/>
        <w:rPr>
          <w:rFonts w:ascii="Palatino Linotype" w:eastAsiaTheme="majorEastAsia" w:hAnsi="Palatino Linotype" w:cstheme="minorHAnsi"/>
          <w:b/>
          <w:sz w:val="24"/>
          <w:szCs w:val="26"/>
        </w:rPr>
      </w:pPr>
    </w:p>
    <w:p w14:paraId="22E0CFB7" w14:textId="258D5C19" w:rsidR="00C440F1" w:rsidRDefault="00C440F1" w:rsidP="00F849A4">
      <w:pPr>
        <w:spacing w:after="0" w:line="240" w:lineRule="auto"/>
        <w:rPr>
          <w:rFonts w:ascii="Palatino Linotype" w:eastAsiaTheme="majorEastAsia" w:hAnsi="Palatino Linotype" w:cstheme="minorHAnsi"/>
          <w:b/>
          <w:sz w:val="24"/>
          <w:szCs w:val="26"/>
        </w:rPr>
      </w:pPr>
    </w:p>
    <w:p w14:paraId="3B1302E6" w14:textId="636306E5" w:rsidR="00C440F1" w:rsidRDefault="00C440F1" w:rsidP="00F849A4">
      <w:pPr>
        <w:spacing w:after="0" w:line="240" w:lineRule="auto"/>
        <w:rPr>
          <w:rFonts w:ascii="Palatino Linotype" w:eastAsiaTheme="majorEastAsia" w:hAnsi="Palatino Linotype" w:cstheme="minorHAnsi"/>
          <w:b/>
          <w:sz w:val="24"/>
          <w:szCs w:val="26"/>
        </w:rPr>
      </w:pPr>
    </w:p>
    <w:p w14:paraId="690C7B1F" w14:textId="1EDC3EBD" w:rsidR="00C440F1" w:rsidRDefault="00C440F1" w:rsidP="00F849A4">
      <w:pPr>
        <w:spacing w:after="0" w:line="240" w:lineRule="auto"/>
        <w:rPr>
          <w:rFonts w:ascii="Palatino Linotype" w:eastAsiaTheme="majorEastAsia" w:hAnsi="Palatino Linotype" w:cstheme="minorHAnsi"/>
          <w:b/>
          <w:sz w:val="24"/>
          <w:szCs w:val="26"/>
        </w:rPr>
      </w:pPr>
    </w:p>
    <w:p w14:paraId="025F9069" w14:textId="2733C504" w:rsidR="00C440F1" w:rsidRDefault="00C440F1" w:rsidP="00F849A4">
      <w:pPr>
        <w:spacing w:after="0" w:line="240" w:lineRule="auto"/>
        <w:rPr>
          <w:rFonts w:ascii="Palatino Linotype" w:eastAsiaTheme="majorEastAsia" w:hAnsi="Palatino Linotype" w:cstheme="minorHAnsi"/>
          <w:b/>
          <w:sz w:val="24"/>
          <w:szCs w:val="26"/>
        </w:rPr>
      </w:pPr>
    </w:p>
    <w:p w14:paraId="0819FF21" w14:textId="685D42D8" w:rsidR="00C440F1" w:rsidRDefault="00C440F1" w:rsidP="00F849A4">
      <w:pPr>
        <w:spacing w:after="0" w:line="240" w:lineRule="auto"/>
        <w:rPr>
          <w:rFonts w:ascii="Palatino Linotype" w:eastAsiaTheme="majorEastAsia" w:hAnsi="Palatino Linotype" w:cstheme="minorHAnsi"/>
          <w:b/>
          <w:sz w:val="24"/>
          <w:szCs w:val="26"/>
        </w:rPr>
      </w:pPr>
    </w:p>
    <w:p w14:paraId="5CDA389A" w14:textId="3ABA4782" w:rsidR="00C440F1" w:rsidRDefault="00C440F1" w:rsidP="00F849A4">
      <w:pPr>
        <w:spacing w:after="0" w:line="240" w:lineRule="auto"/>
        <w:rPr>
          <w:rFonts w:ascii="Palatino Linotype" w:eastAsiaTheme="majorEastAsia" w:hAnsi="Palatino Linotype" w:cstheme="minorHAnsi"/>
          <w:b/>
          <w:sz w:val="24"/>
          <w:szCs w:val="26"/>
        </w:rPr>
      </w:pPr>
    </w:p>
    <w:p w14:paraId="17561EB8" w14:textId="5DE5402D" w:rsidR="00C440F1" w:rsidRDefault="00C440F1" w:rsidP="00F849A4">
      <w:pPr>
        <w:spacing w:after="0" w:line="240" w:lineRule="auto"/>
        <w:rPr>
          <w:rFonts w:ascii="Palatino Linotype" w:eastAsiaTheme="majorEastAsia" w:hAnsi="Palatino Linotype" w:cstheme="minorHAnsi"/>
          <w:b/>
          <w:sz w:val="24"/>
          <w:szCs w:val="26"/>
        </w:rPr>
      </w:pPr>
    </w:p>
    <w:p w14:paraId="3EDBD531" w14:textId="128E8049" w:rsidR="00C440F1" w:rsidRDefault="00C440F1" w:rsidP="00F849A4">
      <w:pPr>
        <w:spacing w:after="0" w:line="240" w:lineRule="auto"/>
        <w:rPr>
          <w:rFonts w:ascii="Palatino Linotype" w:eastAsiaTheme="majorEastAsia" w:hAnsi="Palatino Linotype" w:cstheme="minorHAnsi"/>
          <w:b/>
          <w:sz w:val="24"/>
          <w:szCs w:val="26"/>
        </w:rPr>
      </w:pPr>
    </w:p>
    <w:p w14:paraId="7FDC2EEE" w14:textId="3D016C6D" w:rsidR="00C440F1" w:rsidRDefault="00C440F1" w:rsidP="00F849A4">
      <w:pPr>
        <w:spacing w:after="0" w:line="240" w:lineRule="auto"/>
        <w:rPr>
          <w:rFonts w:ascii="Palatino Linotype" w:eastAsiaTheme="majorEastAsia" w:hAnsi="Palatino Linotype" w:cstheme="minorHAnsi"/>
          <w:b/>
          <w:sz w:val="24"/>
          <w:szCs w:val="26"/>
        </w:rPr>
      </w:pPr>
    </w:p>
    <w:p w14:paraId="7AA9771F" w14:textId="524BE52F" w:rsidR="00C440F1" w:rsidRDefault="00C440F1" w:rsidP="00F849A4">
      <w:pPr>
        <w:spacing w:after="0" w:line="240" w:lineRule="auto"/>
        <w:rPr>
          <w:rFonts w:ascii="Palatino Linotype" w:eastAsiaTheme="majorEastAsia" w:hAnsi="Palatino Linotype" w:cstheme="minorHAnsi"/>
          <w:b/>
          <w:sz w:val="24"/>
          <w:szCs w:val="26"/>
        </w:rPr>
      </w:pPr>
    </w:p>
    <w:p w14:paraId="44A41EE8" w14:textId="67427429" w:rsidR="00C440F1" w:rsidRDefault="00C440F1" w:rsidP="00F849A4">
      <w:pPr>
        <w:spacing w:after="0" w:line="240" w:lineRule="auto"/>
        <w:rPr>
          <w:rFonts w:ascii="Palatino Linotype" w:eastAsiaTheme="majorEastAsia" w:hAnsi="Palatino Linotype" w:cstheme="minorHAnsi"/>
          <w:b/>
          <w:sz w:val="24"/>
          <w:szCs w:val="26"/>
        </w:rPr>
      </w:pPr>
    </w:p>
    <w:p w14:paraId="7B6F267A" w14:textId="77777777" w:rsidR="00C440F1" w:rsidRPr="006C2A0D" w:rsidRDefault="00C440F1" w:rsidP="00F849A4">
      <w:pPr>
        <w:spacing w:after="0" w:line="240" w:lineRule="auto"/>
        <w:rPr>
          <w:rFonts w:ascii="Palatino Linotype" w:eastAsiaTheme="majorEastAsia" w:hAnsi="Palatino Linotype" w:cstheme="minorHAnsi"/>
          <w:b/>
          <w:sz w:val="24"/>
          <w:szCs w:val="26"/>
        </w:rPr>
      </w:pPr>
    </w:p>
    <w:p w14:paraId="2F6BC22F" w14:textId="77BF03A2" w:rsidR="004D6811" w:rsidRP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Nós, do 1º Tabelionato de Notas e de Protesto e Ofício de Registro de Imóveis de Araranguá/SC, prezamos pela privacidade das suas informações, e por isso desenvolvemos nossa Política de Privacidade para demonstrar nosso compromisso em proteger os seus dados pessoais, com base na Lei Federal 13.709/2018 (Lei Geral de Proteção de Dados</w:t>
      </w:r>
      <w:r w:rsidR="00884F53">
        <w:rPr>
          <w:rFonts w:ascii="Arial" w:hAnsi="Arial" w:cs="Arial"/>
          <w:sz w:val="22"/>
          <w:szCs w:val="22"/>
        </w:rPr>
        <w:t xml:space="preserve"> Pessoais</w:t>
      </w:r>
      <w:r>
        <w:rPr>
          <w:rFonts w:ascii="Arial" w:hAnsi="Arial" w:cs="Arial"/>
          <w:sz w:val="22"/>
          <w:szCs w:val="22"/>
        </w:rPr>
        <w:t xml:space="preserve"> – LGPD) e no Provimento</w:t>
      </w:r>
      <w:r w:rsidR="00884F53">
        <w:rPr>
          <w:rFonts w:ascii="Arial" w:hAnsi="Arial" w:cs="Arial"/>
          <w:sz w:val="22"/>
          <w:szCs w:val="22"/>
        </w:rPr>
        <w:t xml:space="preserve"> n.</w:t>
      </w:r>
      <w:r>
        <w:rPr>
          <w:rFonts w:ascii="Arial" w:hAnsi="Arial" w:cs="Arial"/>
          <w:sz w:val="22"/>
          <w:szCs w:val="22"/>
        </w:rPr>
        <w:t xml:space="preserve"> 24/2021, da Corregedoria Geral da Justiça do Estado de Santa Catarina. </w:t>
      </w:r>
    </w:p>
    <w:p w14:paraId="6CEBEA9E" w14:textId="6E5936CD" w:rsidR="004D6811" w:rsidRP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Nossa Política de Privacidade está descrita a maneira com que seus dados são protegidos por esta Serventia ao coletarmos, tratarmos e armazenarmos suas informações pessoais, considerando que a atividade notarial e registral está regulamentada em lei.</w:t>
      </w:r>
    </w:p>
    <w:p w14:paraId="2DD43348" w14:textId="6F98460A" w:rsidR="004D6811" w:rsidRP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O Cartório Ghizzo possui uma cultura de proteção de dados e governança para o cumprimento da Lei nº 13.709/2018 – Lei Geral de Proteção de Dados, adotando procedimentos internos e padrões técnicos de organização, com observância aos pilares da segurança da informação: </w:t>
      </w:r>
      <w:r>
        <w:rPr>
          <w:rFonts w:ascii="Arial" w:hAnsi="Arial" w:cs="Arial"/>
          <w:b/>
          <w:bCs/>
          <w:sz w:val="22"/>
          <w:szCs w:val="22"/>
        </w:rPr>
        <w:t>CONFIDENCIALIDADE, INTEGRIDADE e DISPONIBILIDADE. </w:t>
      </w:r>
    </w:p>
    <w:p w14:paraId="23A393D3" w14:textId="13AFD74E" w:rsidR="004D6811" w:rsidRP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Informamos ainda que, a atividade notarial e registral possui suas atribuições baseadas na Lei nº 6.015/1973, Lei nº 8.935/1940, Lei nº 9.492/1997, Provimento do CNJ nº 1</w:t>
      </w:r>
      <w:r w:rsidR="00701491">
        <w:rPr>
          <w:rFonts w:ascii="Arial" w:hAnsi="Arial" w:cs="Arial"/>
          <w:sz w:val="22"/>
          <w:szCs w:val="22"/>
        </w:rPr>
        <w:t>49</w:t>
      </w:r>
      <w:r>
        <w:rPr>
          <w:rFonts w:ascii="Arial" w:hAnsi="Arial" w:cs="Arial"/>
          <w:sz w:val="22"/>
          <w:szCs w:val="22"/>
        </w:rPr>
        <w:t>/202</w:t>
      </w:r>
      <w:r w:rsidR="0070149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, Código de Normas do Estado de Santa Catarina, entre outras que suportam o tratamento de dados, bem como o compartilhamento dos mesmos para a finalidade dos atos praticados pela Serventia.</w:t>
      </w:r>
    </w:p>
    <w:p w14:paraId="7D01B97D" w14:textId="57745FEC" w:rsidR="004D6811" w:rsidRP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Importante ressaltar que esta Serventia, não informa os seus dados pessoais para terceiros, exceto em caso de comunicações aos órgãos competentes previstos em lei ou em caso de solicitações judiciais.</w:t>
      </w:r>
    </w:p>
    <w:p w14:paraId="4635F46F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 O 1º Tabelionato de Notas e de Protesto e Ofício de Registro de Imóveis de Araranguá/SC, esclarece que o seu website não realiza coleta cookies.</w:t>
      </w:r>
    </w:p>
    <w:p w14:paraId="1EEF2243" w14:textId="77777777" w:rsidR="004D6811" w:rsidRDefault="004D6811" w:rsidP="004D6811">
      <w:pPr>
        <w:pStyle w:val="Standard"/>
        <w:rPr>
          <w:rFonts w:ascii="Arial" w:hAnsi="Arial" w:cs="Arial"/>
        </w:rPr>
      </w:pPr>
    </w:p>
    <w:p w14:paraId="0B5D64CB" w14:textId="3FE785A9" w:rsidR="004D6811" w:rsidRP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1 – OBJETIVO</w:t>
      </w:r>
    </w:p>
    <w:p w14:paraId="18F0721A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</w:rPr>
        <w:t>1.</w:t>
      </w:r>
      <w:r>
        <w:rPr>
          <w:rFonts w:ascii="Arial" w:hAnsi="Arial" w:cs="Arial"/>
          <w:sz w:val="22"/>
          <w:szCs w:val="22"/>
        </w:rPr>
        <w:t>1. Os serviços disponíveis neste site e no atendimento ao usuário são proporcionados na forma de livre acesso pelo 1º Tabelionato de Notas e de Protesto e Ofício de Registro de Imóveis de Araranguá/SC, assumindo, assim, compromisso de privacidade dos dados tratados, tendo como prioritária a proteção dos dados.</w:t>
      </w:r>
    </w:p>
    <w:p w14:paraId="5B560551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F6650AD" w14:textId="2FFF7133" w:rsidR="004D6811" w:rsidRP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lastRenderedPageBreak/>
        <w:t>1.2. A presente “Política de Privacidade” corresponde ao tratamento dado pelo 1º Tabelionato de Notas e de Protesto e Ofício de Registro de Imóveis de Araranguá/SC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às informações e dados pessoais coletados, quando estes estão no sítio eletrônico (https://www.cartorioghizzo.com.br) ou quando, por outro meio, componham as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bases de dados eletrônicos da Serventia.</w:t>
      </w:r>
    </w:p>
    <w:p w14:paraId="1454912E" w14:textId="75A66BF8" w:rsidR="004D6811" w:rsidRP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1.3. O usuário que decidir fornecer seus dados pessoais para fins de notificação de andamento de seu protocolo, declara conhecer e aceitar os termos aqui descritos. A concordância com esta Política de Privacidade é indispensável à utilização do site e dos serviços oferecidos pelo cartório.</w:t>
      </w:r>
    </w:p>
    <w:p w14:paraId="0B525680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1.4. Sem prejuízo aos direitos legais, o site se reserva o direito de alterar esta Política de Privacidade de modo a refletir avanços tecnológicos, mudanças na legislação ou normas regulatórias e boas práticas, por este motivo, estará sempre, neste espaço, disponível para consultas.</w:t>
      </w:r>
    </w:p>
    <w:p w14:paraId="70CD163B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6DADC4F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2- APLICAÇÃO</w:t>
      </w:r>
    </w:p>
    <w:p w14:paraId="31777120" w14:textId="64D26ACE" w:rsidR="004D6811" w:rsidRPr="00884F53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Através da presente Política de Privacidade, a Serventia torna pública qual a natureza, o âmbito e a finalidade dos dados pessoais que serão recolhidos, utilizados e processados.</w:t>
      </w:r>
    </w:p>
    <w:p w14:paraId="4E3BA1D4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3- NORMAS RELACIONADAS</w:t>
      </w:r>
    </w:p>
    <w:p w14:paraId="60BC2D9C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3.1. Lei nº 13.709 de 14 de</w:t>
      </w:r>
      <w:r w:rsidRPr="00D4345A">
        <w:rPr>
          <w:rFonts w:ascii="Arial" w:hAnsi="Arial" w:cs="Arial"/>
          <w:sz w:val="22"/>
          <w:szCs w:val="22"/>
        </w:rPr>
        <w:t xml:space="preserve"> agosto</w:t>
      </w:r>
      <w:r>
        <w:rPr>
          <w:rFonts w:ascii="Arial" w:hAnsi="Arial" w:cs="Arial"/>
          <w:sz w:val="22"/>
          <w:szCs w:val="22"/>
        </w:rPr>
        <w:t xml:space="preserve"> de 2018, Lei Geral de Proteção de dados pessoais.</w:t>
      </w:r>
    </w:p>
    <w:p w14:paraId="2E2EB395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3.2. Lei nº 6.015 de 31 de dezembro de 1973, Lei de Registros Públicos.</w:t>
      </w:r>
    </w:p>
    <w:p w14:paraId="50AC22E9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3.3. Lei nº 8.935 de 18 de novembro de 1994, Lei dos Serviços Notariais e de Registro.</w:t>
      </w:r>
    </w:p>
    <w:p w14:paraId="76C41EEE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3.4. Lei nº 9.492 de 10 de setembro de 1997, Lei dos serviços concernentes ao protesto de títulos e outros documentos.</w:t>
      </w:r>
      <w:r>
        <w:rPr>
          <w:rFonts w:ascii="Arial" w:hAnsi="Arial" w:cs="Arial"/>
          <w:color w:val="800000"/>
          <w:sz w:val="22"/>
          <w:szCs w:val="22"/>
        </w:rPr>
        <w:t> </w:t>
      </w:r>
    </w:p>
    <w:p w14:paraId="5CE38BF1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3.5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Provimento nº 61/2017 CNJ;</w:t>
      </w:r>
    </w:p>
    <w:p w14:paraId="207C8394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 w:rsidRPr="00152D8A">
        <w:rPr>
          <w:rFonts w:ascii="Arial" w:hAnsi="Arial" w:cs="Arial"/>
          <w:sz w:val="22"/>
          <w:szCs w:val="22"/>
        </w:rPr>
        <w:t>3.6.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Provimento nº 74/2018 CNJ;</w:t>
      </w:r>
    </w:p>
    <w:p w14:paraId="53FA2225" w14:textId="7B4F308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 w:rsidRPr="00152D8A">
        <w:rPr>
          <w:rFonts w:ascii="Arial" w:hAnsi="Arial" w:cs="Arial"/>
          <w:sz w:val="22"/>
          <w:szCs w:val="22"/>
        </w:rPr>
        <w:t>3.7.</w:t>
      </w:r>
      <w:r>
        <w:rPr>
          <w:rFonts w:ascii="Arial" w:hAnsi="Arial" w:cs="Arial"/>
          <w:sz w:val="22"/>
          <w:szCs w:val="22"/>
        </w:rPr>
        <w:t xml:space="preserve"> Provimento nº 1</w:t>
      </w:r>
      <w:r w:rsidR="00884F53">
        <w:rPr>
          <w:rFonts w:ascii="Arial" w:hAnsi="Arial" w:cs="Arial"/>
          <w:sz w:val="22"/>
          <w:szCs w:val="22"/>
        </w:rPr>
        <w:t>49</w:t>
      </w:r>
      <w:r>
        <w:rPr>
          <w:rFonts w:ascii="Arial" w:hAnsi="Arial" w:cs="Arial"/>
          <w:sz w:val="22"/>
          <w:szCs w:val="22"/>
        </w:rPr>
        <w:t>/202</w:t>
      </w:r>
      <w:r w:rsidR="00884F5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CNJ;</w:t>
      </w:r>
    </w:p>
    <w:p w14:paraId="3DFCCF3E" w14:textId="7BEF088F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 w:rsidRPr="00152D8A">
        <w:rPr>
          <w:rFonts w:ascii="Arial" w:hAnsi="Arial" w:cs="Arial"/>
          <w:sz w:val="22"/>
          <w:szCs w:val="22"/>
        </w:rPr>
        <w:t>3.</w:t>
      </w:r>
      <w:r w:rsidR="00884F53">
        <w:rPr>
          <w:rFonts w:ascii="Arial" w:hAnsi="Arial" w:cs="Arial"/>
          <w:sz w:val="22"/>
          <w:szCs w:val="22"/>
        </w:rPr>
        <w:t>8</w:t>
      </w:r>
      <w:r w:rsidRPr="00152D8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Código de Normas da CGJSC;</w:t>
      </w:r>
    </w:p>
    <w:p w14:paraId="26A74349" w14:textId="2B8D3FB9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 w:rsidRPr="00152D8A">
        <w:rPr>
          <w:rFonts w:ascii="Arial" w:hAnsi="Arial" w:cs="Arial"/>
          <w:sz w:val="22"/>
          <w:szCs w:val="22"/>
        </w:rPr>
        <w:t>3.</w:t>
      </w:r>
      <w:r w:rsidR="00884F53">
        <w:rPr>
          <w:rFonts w:ascii="Arial" w:hAnsi="Arial" w:cs="Arial"/>
          <w:sz w:val="22"/>
          <w:szCs w:val="22"/>
        </w:rPr>
        <w:t>9</w:t>
      </w:r>
      <w:r w:rsidRPr="00152D8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Norma ABNT ISO/IEC nº 27701.2013, Técnicas de Gestão de Privacidade.</w:t>
      </w:r>
    </w:p>
    <w:p w14:paraId="79CCFF1D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863F332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4. FIGURAS DO TRATAMENTO DE DADOS</w:t>
      </w:r>
    </w:p>
    <w:p w14:paraId="64DA759A" w14:textId="10E7488C" w:rsidR="004D6811" w:rsidRP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4.1. CONTROLADOR – 1º Tabelionato de Notas e de Protesto e Ofício de Registro de Imóveis de A</w:t>
      </w:r>
      <w:r w:rsidR="00884F53">
        <w:rPr>
          <w:rFonts w:ascii="Arial" w:hAnsi="Arial" w:cs="Arial"/>
          <w:sz w:val="22"/>
          <w:szCs w:val="22"/>
        </w:rPr>
        <w:t xml:space="preserve">raranguá-SC, situado na Av. Coronel João Fernandes, nº 376, Centro, Araranguá/SC, CEP nº </w:t>
      </w:r>
      <w:r w:rsidR="00884F53">
        <w:rPr>
          <w:rFonts w:ascii="Arial" w:hAnsi="Arial" w:cs="Arial"/>
          <w:color w:val="222222"/>
          <w:sz w:val="22"/>
          <w:szCs w:val="22"/>
        </w:rPr>
        <w:t xml:space="preserve">88900-005, </w:t>
      </w:r>
      <w:r w:rsidR="00884F53">
        <w:rPr>
          <w:rFonts w:ascii="Arial" w:hAnsi="Arial" w:cs="Arial"/>
          <w:sz w:val="22"/>
          <w:szCs w:val="22"/>
        </w:rPr>
        <w:t>tem como controladora a</w:t>
      </w:r>
      <w:r>
        <w:rPr>
          <w:rFonts w:ascii="Arial" w:hAnsi="Arial" w:cs="Arial"/>
          <w:sz w:val="22"/>
          <w:szCs w:val="22"/>
        </w:rPr>
        <w:t xml:space="preserve"> Oficial/Tabeliã Albertina Bittencourt Ghizzo.</w:t>
      </w:r>
    </w:p>
    <w:p w14:paraId="120A4724" w14:textId="3ACF08AD" w:rsidR="004D6811" w:rsidRP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4.2. OPERADOR – São as pessoas naturais ou jurídicas externas ao quadro funcional da Serventia que realizam o tratamento de dados pessoais em nome do Controlador, quais sejam: contador, assessoria jurídica, empresa responsável pelo sistema informatizado da Serventia, prestação de serviços de informática, hospedagem de site, </w:t>
      </w:r>
      <w:r w:rsidR="00AA6031" w:rsidRPr="00AA6031">
        <w:rPr>
          <w:rFonts w:ascii="Arial" w:hAnsi="Arial" w:cs="Arial"/>
          <w:sz w:val="22"/>
          <w:szCs w:val="22"/>
        </w:rPr>
        <w:t>e-mails</w:t>
      </w:r>
      <w:r>
        <w:rPr>
          <w:rFonts w:ascii="Arial" w:hAnsi="Arial" w:cs="Arial"/>
          <w:sz w:val="22"/>
          <w:szCs w:val="22"/>
        </w:rPr>
        <w:t xml:space="preserve"> e aplicativos de mensagens.</w:t>
      </w:r>
    </w:p>
    <w:p w14:paraId="5879DF00" w14:textId="1FE4FF5A" w:rsidR="004D6811" w:rsidRP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4.3. ENCARREGADO DE PROTEÇÃO DE DADOS: FERNANDA ESPÍNDOLA BORGES MICHELS, que se encontra disponível através do e-mail </w:t>
      </w:r>
      <w:r>
        <w:rPr>
          <w:rFonts w:ascii="Arial" w:hAnsi="Arial" w:cs="Arial"/>
          <w:b/>
          <w:sz w:val="22"/>
          <w:szCs w:val="22"/>
        </w:rPr>
        <w:t>encarregado@cartorioghizzo.com.br</w:t>
      </w:r>
    </w:p>
    <w:p w14:paraId="566CE5D4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4.4. TITULAR – Pessoa natural a quem se refere os dados pessoais que são objeto de tratamento nesta Serventia.</w:t>
      </w:r>
    </w:p>
    <w:p w14:paraId="2AB9E643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38C34F90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5. TIPOS DE INFORMAÇÕES COLETADAS</w:t>
      </w:r>
    </w:p>
    <w:p w14:paraId="45D40F81" w14:textId="37868D4D" w:rsidR="004D6811" w:rsidRP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5.1. A menos que especificado de outra forma, todos os dados solicitados por este site ou no atendimento ao cliente, são obrigatórios (exceto do contato/telefone e e-mail) e o não fornecimento desses dados, poderá acarretar a impossibilidade de realização dos serviços requisitados a esta Serventia.</w:t>
      </w:r>
    </w:p>
    <w:p w14:paraId="51505BC7" w14:textId="7A826650" w:rsidR="004D6811" w:rsidRP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5.2. Importante salientar que, antes mesmo de valer-se dos serviços disponibilizados pelos canais eletrônicos ou presenciais desta Serventia, todos os dados tratados estarão protegidos nos termos da Lei nº 13.709/2018, Provimento nº 74/2018 do Conselho Nacional de Justiça, Provimento nº </w:t>
      </w:r>
      <w:r w:rsidR="00AA6031">
        <w:rPr>
          <w:rFonts w:ascii="Arial" w:hAnsi="Arial" w:cs="Arial"/>
          <w:sz w:val="22"/>
          <w:szCs w:val="22"/>
        </w:rPr>
        <w:t>149/2023</w:t>
      </w:r>
      <w:r>
        <w:rPr>
          <w:rFonts w:ascii="Arial" w:hAnsi="Arial" w:cs="Arial"/>
          <w:sz w:val="22"/>
          <w:szCs w:val="22"/>
        </w:rPr>
        <w:t xml:space="preserve"> do Conselho Nacional de Justiça, Provimento nº 24/2021 da Corregedoria Geral de Justiça do Estado de Santa Catarina.</w:t>
      </w:r>
    </w:p>
    <w:p w14:paraId="12DDB2E5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5.3. DO PROTOCOLO DOS PEDIDOS DE SERVIÇOS: Quando houver requisição de algum serviço a esta Serventia, não havendo obrigatoriedade legal, será solicitado ao usuário seu consentimento para tratamento de dados, visando receber notificação acerca do andamento de sua solicitação.</w:t>
      </w:r>
    </w:p>
    <w:p w14:paraId="5E24A73F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lastRenderedPageBreak/>
        <w:t>5.3.1. Estes dados são solicitados nos setores de atendimento para realização do pedido, bem como nas plataformas eletrônicas vinculadas ao 1º Tabelionato de Notas e de Protesto e Ofício de Registro de Imóveis de Araranguá/SC, inseridos no sistema da Serventia para organização da logística de comunicação com o usuário.</w:t>
      </w:r>
    </w:p>
    <w:p w14:paraId="3F311499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5.3.2. A comunicação será realizada apenas durante o período compreendido entre a solicitação e entrega do serviço solicitado, exceto nos casos em que houver obrigação legal.</w:t>
      </w:r>
    </w:p>
    <w:p w14:paraId="58EFFCF5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5.3.3. Finalizada a prestação de serviço, as notificações pelos meios fornecidos serão encerradas automaticamente, exceto nos casos em que houver obrigação legal.</w:t>
      </w:r>
    </w:p>
    <w:p w14:paraId="09C838DF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5.3.4. O usuário que não consentir com a disponibilização das informações dos dados para contato, poderá acionar a Serventia para tomar conhecimento a respeito do andamento do serviço solicitado, ou acessar o canal de atendimento constante no site “Serviços &gt; Consulta Digital”.</w:t>
      </w:r>
    </w:p>
    <w:p w14:paraId="19455D94" w14:textId="2690D1BA" w:rsidR="004D6811" w:rsidRP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5.3.5. A qualquer momento o usuário pode revogar ou conceder seu consentimento, desde que isso não encontre impedimento no cumprimento das obrigações legais ou regulatórias dos atos praticados pelo controlador e operadores, devendo, para tanto, entrar em contato através do e-mail: </w:t>
      </w:r>
      <w:r>
        <w:rPr>
          <w:rFonts w:ascii="Arial" w:hAnsi="Arial" w:cs="Arial"/>
          <w:bCs/>
          <w:sz w:val="22"/>
          <w:szCs w:val="22"/>
        </w:rPr>
        <w:t>encarregado@cartorioghizzo.com.br</w:t>
      </w:r>
      <w:r>
        <w:rPr>
          <w:rFonts w:ascii="Arial" w:hAnsi="Arial" w:cs="Arial"/>
          <w:sz w:val="22"/>
          <w:szCs w:val="22"/>
        </w:rPr>
        <w:t> </w:t>
      </w:r>
    </w:p>
    <w:p w14:paraId="1523B7A8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5.4. DA PRÁTICA DOS ATOS SOLICITADOS NO PROTOCOLO </w:t>
      </w:r>
    </w:p>
    <w:p w14:paraId="1649670C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Quando do requerimento realizado por parte interessada, esta Serventia necessitará coletar dados que são essenciais para a prática dos atos que lhe são solicitados, visando o cumprimento de disposições legais, normativas ou baseadas no consentimento do usuário.</w:t>
      </w:r>
    </w:p>
    <w:p w14:paraId="190307FC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5.4.1. Os dados coletados têm a função de: (a) qualificação das partes nos atos registrais ou notariais; (b) emissão de certidões; (c) dados bancários para devolução de valores de depósito prévio não utilizados; (d) envio do selo de fiscalização do Tribunal de Justiça do Estado de Santa Catarina; (e) emissão da DOI (Declaração de Operações Imobiliárias – Receita Federal); (f) emissão de DOITU (Declaração sobre Operações Imobiliárias em Terrenos da União); (g) emissão de declaração de operações suspeitas previstas na Lei 9.613/1998 ao SISCOAF; (h) CENSEC; (i) CNN; (j) CENTRAL DUT; (k) CNIB; (l) E-NOTARIADO; (m) CENPROT; (n) BOA VISTA; (o) INSS; entre outras.</w:t>
      </w:r>
    </w:p>
    <w:p w14:paraId="2456131C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5.4.2. Para a prática de atos registrais e notariais, são coletados dados determinados por lei, norma ou jurisprudência, para cumprimento de princípios registrais: Nome (partes interessadas), CPF, CNPJ, telefone, e-mail, nacionalidade, data de nascimento/casamento/óbito, profissão, estado civil, endereço, certidão de óbito/nascimento/casamento, RG/CNH/CTPS ou outro documento de identificação </w:t>
      </w:r>
      <w:r>
        <w:rPr>
          <w:rFonts w:ascii="Arial" w:hAnsi="Arial" w:cs="Arial"/>
          <w:sz w:val="22"/>
          <w:szCs w:val="22"/>
        </w:rPr>
        <w:lastRenderedPageBreak/>
        <w:t>pessoal, filiação, pacto antenupcial (escritura pública ou registro), certidões exigidas pela legislação (pessoal física ou jurídica e/ou do imóvel), comprovante de pagamento de impostos e taxas, comprovação de representação (procurações e/ou substabelecimentos), etc.</w:t>
      </w:r>
    </w:p>
    <w:p w14:paraId="1527D45E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340AE0A8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5.5. DOS SERVIÇOS PRESTADOS PELO SITE</w:t>
      </w:r>
    </w:p>
    <w:p w14:paraId="205963F3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 Através do nosso site é possível realizar alguns tipos de consultas, conforme abaixo:</w:t>
      </w:r>
    </w:p>
    <w:p w14:paraId="205C2FBB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5.5.1. Solicitação de certidão (Serviços Eletrônicos), sendo o titular direcionado a Central CORI/SC (site externo – terceiro).</w:t>
      </w:r>
    </w:p>
    <w:p w14:paraId="0B9FD33B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5.5.2. Acompanhamento do andamento da solicitação (Serviços), exclusivamente com o número da entrega/protocolo fornecido no momento da solicitação, sendo o titular direcionado a um site externo.</w:t>
      </w:r>
    </w:p>
    <w:p w14:paraId="0D773E0D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5.5.3. Acesso à Política de Privacidade e ao termo de consentimento, além de dar o aceite para que a solicitação seja enviada à Serventia.</w:t>
      </w:r>
    </w:p>
    <w:p w14:paraId="3294345E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5.5.4. Canal de contato com a Serventia (Contato), onde serão coletados nome, e-mail e telefone.</w:t>
      </w:r>
    </w:p>
    <w:p w14:paraId="7AA9C419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5.5.5. Consulta aos documentos exigidos para Registro de Imóveis e/ou Tabelionato de Notas (listagem de documentos necessários).</w:t>
      </w:r>
    </w:p>
    <w:p w14:paraId="5DD4FDFF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5.5.6. Consulta de formulário de requisição (Modelos de Requerimentos e Declarações). </w:t>
      </w:r>
    </w:p>
    <w:p w14:paraId="4F2116D9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5.5.7. Acesso aos emolumentos cobrados pela Serventia (Tabela de Emolumentos).</w:t>
      </w:r>
    </w:p>
    <w:p w14:paraId="43765C4C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5.5.8. Opção em avaliar os serviços prestados pela Serventia (Pesquisa de Satisfação).</w:t>
      </w:r>
    </w:p>
    <w:p w14:paraId="2EBFA4CE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5.5.9. Link de acesso a alguns sites externos para facilitar alguns serviços.</w:t>
      </w:r>
    </w:p>
    <w:p w14:paraId="37C248F4" w14:textId="2B8EF44D" w:rsidR="00AA6031" w:rsidRDefault="00AA603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5.5.10. Enviar currículo para processo seletivo.</w:t>
      </w:r>
    </w:p>
    <w:p w14:paraId="09223A79" w14:textId="2F24D2DF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32BA912D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6899CDE" w14:textId="77777777" w:rsidR="00AA6031" w:rsidRDefault="00AA6031" w:rsidP="004D6811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129D9F3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lastRenderedPageBreak/>
        <w:t>6- COOKIES</w:t>
      </w:r>
    </w:p>
    <w:p w14:paraId="3D9AF646" w14:textId="2DD8681F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6.1 Nosso site </w:t>
      </w:r>
      <w:r w:rsidR="00ED5F90">
        <w:rPr>
          <w:rFonts w:ascii="Arial" w:hAnsi="Arial" w:cs="Arial"/>
          <w:sz w:val="22"/>
          <w:szCs w:val="22"/>
        </w:rPr>
        <w:t>utiliza</w:t>
      </w:r>
      <w:r>
        <w:rPr>
          <w:rFonts w:ascii="Arial" w:hAnsi="Arial" w:cs="Arial"/>
          <w:sz w:val="22"/>
          <w:szCs w:val="22"/>
        </w:rPr>
        <w:t xml:space="preserve"> cookies. Cookie é um arquivo que contém um identificador (uma sequência de letras e números) enviado por um servidor da web para um navegador da web e armazenado pelo navegador. Os cookies normalmente não contêm nenhuma informação que identifica pessoalmente um usuário, mas as informações pessoais que armazenamos sobre você podem estar vinculadas às informações armazenadas e obtidas de cookies.</w:t>
      </w:r>
    </w:p>
    <w:p w14:paraId="7CE6C1B4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3BA21FBC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7- PRIVACIDADE DO USUÁRIO</w:t>
      </w:r>
    </w:p>
    <w:p w14:paraId="55A84730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7.1. Todas as informações coletadas dos usuários trafegam pela internet de forma segura, com uso de um processo de criptografia e a Serventia se compromete a utilizar os melhores sistemas de proteção disponibilizados pela tecnologia de internet.</w:t>
      </w:r>
    </w:p>
    <w:p w14:paraId="33BFD8C0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7.2. A Serventia emprega todos os esforços para manter a integridade, disponibilidade e a confidencialidade das informações que lhe são fornecidas.</w:t>
      </w:r>
    </w:p>
    <w:p w14:paraId="61EB0F32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7.3. As notificações de pedidos ou solicitações de protocolos poderão ocorrer através do e-mail, ligação ou mensagem de aplicativo de comunicação instantânea, dados estes fornecidos ao realizar o pedido, considerando que a coleta e envio dessas mensagens visam garantir o interesse de nossos usuários.</w:t>
      </w:r>
    </w:p>
    <w:p w14:paraId="11B2DC04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7.4. O site poderá oferecer acesso a links e frames de outros sites cujos conteúdos e políticas de privacidade não são de responsabilidade da Serventia. Assim, a Serventia recomenda que, ao serem redirecionados para sites externos, os usuários consultem sempre as respectivas políticas de privacidade antes de fornecerem seus dados ou informações.</w:t>
      </w:r>
    </w:p>
    <w:p w14:paraId="15AF39AE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7.5. O acesso às informações e dados pessoais coletados é restrito aos funcionários e pessoas autorizadas para este fim. Empregados e/ou pessoas autorizadas que se utilizarem indevidamente dessas informações, ferindo essa Política de Privacidade, estarão sujeitos às penalidades previstas, sem exclusão das demais medidas legais cabíveis.</w:t>
      </w:r>
    </w:p>
    <w:p w14:paraId="7E4492D6" w14:textId="3A602EDC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6F27AA7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7C218A6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lastRenderedPageBreak/>
        <w:t>8 – COMPARTILHAMENTO DE INFORMAÇÕES E DADOS PESSOAIS</w:t>
      </w:r>
    </w:p>
    <w:p w14:paraId="5C386A5A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8.1. Por força do artigo 16 e seguintes da Lei nº 6.015/73, a publicidade dos atos, serviços e registros contidos nos livros da Serventia é uma obrigação, podendo, dentro dos limites da Lei, ser extraídos e compartilhados.</w:t>
      </w:r>
    </w:p>
    <w:p w14:paraId="7B54D48F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8.2. Asseguramos aos usuários que nenhum dado pessoal será cedido, por via gratuita ou comercial, a empresas de marketing.</w:t>
      </w:r>
    </w:p>
    <w:p w14:paraId="006B784D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8.3. Em determinadas circunstâncias, amparadas por lei ou em razão de determinação judicial, a Serventia reserva o direito de compartilhar ou transferir dados pessoais. Por exemplo: para manter a integração com os órgãos e associações centrais eletrônicas de serviço compartilhado: CRISC/SC, SISCOAF, Receita Federal do Brasil (DOI), Malote Digital, Sistema Operacional ESCRIBA, Prefeitura Municipal de Araranguá, DOITU, Empresa de TI, Tribunal de Justiça de Santa Catarina, Central – CNIB, ARISP, CAPEG – Digitalização.</w:t>
      </w:r>
    </w:p>
    <w:p w14:paraId="35F2C950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8.4.  Sempre que ocorrer um evento desta ordem, o compartilhamento será feito em conformidade com a legislação de proteção de dados pessoais em vigor.</w:t>
      </w:r>
    </w:p>
    <w:p w14:paraId="3E21C367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30521458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9 – DIREITO DOS USUÁRIOS – TITULARES</w:t>
      </w:r>
    </w:p>
    <w:p w14:paraId="57E34A36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9.1. O tratamento de dados pessoais na Serventia é realizado de forma transparente, lícita e justa, mantendo o registro das atividades, conforme Artigos 7º, 8º, 11º e 14º da Lei nº 13.709/2018.</w:t>
      </w:r>
    </w:p>
    <w:p w14:paraId="45A2D614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9.2. Os titulares dos dados têm o direito de acesso aos seus dados pessoais e quaisquer solicitações feitas para a Serventia, conforme Artigo 20º da LGPD, ressalvado o disposto no Artigo 16º da Lei nº 6.015/73.</w:t>
      </w:r>
    </w:p>
    <w:p w14:paraId="12FB9CA7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9.3. Para os titulares dos dados pessoais exercerem seu direito, devem entrar em contato com o Encarregado de Proteção de Dados através do e-mail: </w:t>
      </w:r>
      <w:r>
        <w:rPr>
          <w:rFonts w:ascii="Arial" w:hAnsi="Arial" w:cs="Arial"/>
          <w:b/>
          <w:sz w:val="22"/>
          <w:szCs w:val="22"/>
        </w:rPr>
        <w:t>encarregado@cartorioghizzo.com.br</w:t>
      </w:r>
      <w:r>
        <w:rPr>
          <w:rFonts w:ascii="Arial" w:hAnsi="Arial" w:cs="Arial"/>
          <w:sz w:val="22"/>
          <w:szCs w:val="22"/>
        </w:rPr>
        <w:t> </w:t>
      </w:r>
    </w:p>
    <w:p w14:paraId="59B56EE9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9.3.1. O encarregado realizará o primeiro contato em até 5 dias após o recebimento da solicitação.</w:t>
      </w:r>
    </w:p>
    <w:p w14:paraId="206CBBFC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9.3.2. O encarregado responderá a solicitação dos titulares dos dados em até 15 dias por e-mail.</w:t>
      </w:r>
    </w:p>
    <w:p w14:paraId="06747623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9.4. Os titulares dos dados pessoais têm direito:</w:t>
      </w:r>
    </w:p>
    <w:p w14:paraId="3CE4CA0C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lastRenderedPageBreak/>
        <w:t>9.4.1. de modificação, negação ou cancelamento de seus consentimentos.</w:t>
      </w:r>
    </w:p>
    <w:p w14:paraId="30280414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9.4.2. ao acesso, correção e/ou exclusão de seus dados pessoais, quando permitido por lei.</w:t>
      </w:r>
    </w:p>
    <w:p w14:paraId="0A314551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9.4.3. de solicitar informações sobre o compartilhamento de seus dados pessoais.</w:t>
      </w:r>
    </w:p>
    <w:p w14:paraId="1F3CE3EF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9.4.5. de saber quais dados são tratados pelo 1º Tabelionato de Notas e de Protesto e Ofício de Registro de Imóveis de Araranguá/SC.</w:t>
      </w:r>
    </w:p>
    <w:p w14:paraId="7E010171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9.4.6. de receber uma cópia dos dados pessoais que são tratados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quando houver.</w:t>
      </w:r>
    </w:p>
    <w:p w14:paraId="07A1400B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9.4.7. de requerer a anonimização, bloqueio ou eliminação de dados desnecessários, excessivos ou tratados de forma ilícita.</w:t>
      </w:r>
    </w:p>
    <w:p w14:paraId="5022A05D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9.4.8. de solicitar a revisão de decisões tomadas unicamente com base em tratamento automatizado de dados pessoais que afetem seus interesses, incluídas as decisões destinadas a definir o seu perfil pessoal, profissional, de consumo e de crédito ou os aspectos de sua personalidade.</w:t>
      </w:r>
    </w:p>
    <w:p w14:paraId="5B6EFCBB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BE26FD1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10 – MINIMIZAÇÕES DE DADOS</w:t>
      </w:r>
    </w:p>
    <w:p w14:paraId="48E8959E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Os dados coletados pela Serventia são adequados, pertinentes e limitados ao que é necessário relativamente às finalidades para as quais são tratados.</w:t>
      </w:r>
    </w:p>
    <w:p w14:paraId="1DC0AF6F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416F16C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11 – SEGURANÇA DOS DADOS</w:t>
      </w:r>
    </w:p>
    <w:p w14:paraId="7F386345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A Serventia implementou e continuará implementando inúmeras medidas técnicas e administrativas aptas a proteger os dados pessoais de acessos não autorizados e de situações acidentais ou ilícitas de destruição, perda, alteração, comunicação ou difusão, como previsto nos §§ 1º e 2º do art. 46 da Lei nº 13.709/2018, Provimento nº 74/2018 do Conselho Nacional de Justiça, Provimento nº 24/2021 da Corregedoria Geral de Justiça do Estado de Santa Catarina.</w:t>
      </w:r>
    </w:p>
    <w:p w14:paraId="31454042" w14:textId="6F580C24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FD6B91E" w14:textId="0B886714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AE72011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8BEF6EC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lastRenderedPageBreak/>
        <w:t>12 – RETENÇÃO DOS DADOS PESSOAIS</w:t>
      </w:r>
    </w:p>
    <w:p w14:paraId="6113987E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12.1. O critério utilizado para determinar o período em que os dados pessoais serão guardados é o respectivo período de retenção legal ou aquele que julgue pertinente.</w:t>
      </w:r>
    </w:p>
    <w:p w14:paraId="47CE1508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12.2. Após o término desse período, os dados correspondentes poderão ser eliminados, desde que não sejam mais necessários pela Serventia, para o tratamento e uso compartilhado de dados necessários à execução de políticas públicas previstas em leis e regulamentos ou respaldadas em contratos, convênios ou instrumentos congêneres, observadas as disposições do Capítulo IV, da Lei nº 13.709/2018.</w:t>
      </w:r>
    </w:p>
    <w:p w14:paraId="4809A607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35333761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13 – VIOLAÇÃO DE DADOS PESSOAIS</w:t>
      </w:r>
    </w:p>
    <w:p w14:paraId="08E0601B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No caso de uma violação de dados pessoais, a Serventia deverá prontamente avaliar o risco para os direitos e liberdades das pessoas e, se apropriado, informar essa violação à autoridade competente.</w:t>
      </w:r>
    </w:p>
    <w:p w14:paraId="22D39373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9CC59A0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14 – GESTÃO DA POLÍTICA</w:t>
      </w:r>
    </w:p>
    <w:p w14:paraId="1F972778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A Política de Privacidade do site é aprovada pelo Comitê LGPD, em conjunto com a Titular da Serventia.</w:t>
      </w:r>
    </w:p>
    <w:p w14:paraId="04D1DFFE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28ACC00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15 – ACESSO AOS DADOS</w:t>
      </w:r>
    </w:p>
    <w:p w14:paraId="21C0BC5F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O 1º Tabelionato de Notas e de Protesto e Ofício de Registro de Imóveis de Araranguá/SC possui controle interno sobre o acesso às informações, ou seja, monitoramos o acesso dos colaboradores aos dados pessoais, o que é feito apenas para execução das atividades registrais e notariais em compasso com os ditames do arcabouço jurídico pátrio. Para denúncia de violação das políticas de privacidade enviar e-mail para o encarregado: </w:t>
      </w:r>
      <w:hyperlink r:id="rId9" w:history="1">
        <w:r>
          <w:rPr>
            <w:rStyle w:val="Hyperlink"/>
            <w:rFonts w:ascii="Arial" w:eastAsiaTheme="majorEastAsia" w:hAnsi="Arial" w:cs="Arial"/>
            <w:b/>
            <w:color w:val="auto"/>
            <w:sz w:val="22"/>
            <w:szCs w:val="22"/>
          </w:rPr>
          <w:t>encarregado@cartorioghizzo.com.br</w:t>
        </w:r>
      </w:hyperlink>
      <w:r>
        <w:rPr>
          <w:rFonts w:ascii="Arial" w:hAnsi="Arial" w:cs="Arial"/>
          <w:sz w:val="22"/>
          <w:szCs w:val="22"/>
        </w:rPr>
        <w:t> </w:t>
      </w:r>
    </w:p>
    <w:p w14:paraId="7A074DF8" w14:textId="5FC5EFAF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788FFAA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547228D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lastRenderedPageBreak/>
        <w:t>16 – MAIORES INFORMAÇÕES</w:t>
      </w:r>
    </w:p>
    <w:p w14:paraId="15052DA7" w14:textId="77777777" w:rsidR="004D6811" w:rsidRDefault="004D6811" w:rsidP="004D6811">
      <w:pPr>
        <w:pStyle w:val="NormalWeb"/>
        <w:shd w:val="clear" w:color="auto" w:fill="FFFFFF"/>
        <w:spacing w:before="0" w:after="0" w:line="360" w:lineRule="auto"/>
        <w:jc w:val="both"/>
      </w:pPr>
      <w:r>
        <w:rPr>
          <w:rFonts w:ascii="Arial" w:hAnsi="Arial" w:cs="Arial"/>
          <w:sz w:val="22"/>
          <w:szCs w:val="22"/>
        </w:rPr>
        <w:t>Na formalização desta política de privacidade, o 1º Tabelionato de Notas e de Protesto e Ofício de Registro de Imóveis de Araranguá/SC, objetiva trazer informações com clareza e objetividade. Mantemos um canal de esclarecimentos para assuntos relacionados à Lei Geral de Proteção de Dados, por meio do e-mail: </w:t>
      </w:r>
      <w:r>
        <w:rPr>
          <w:rFonts w:ascii="Arial" w:hAnsi="Arial" w:cs="Arial"/>
          <w:b/>
          <w:sz w:val="22"/>
          <w:szCs w:val="22"/>
        </w:rPr>
        <w:t>encarregado@cartorioghizzo.com.br</w:t>
      </w:r>
      <w:r>
        <w:rPr>
          <w:rFonts w:ascii="Arial" w:hAnsi="Arial" w:cs="Arial"/>
          <w:sz w:val="22"/>
          <w:szCs w:val="22"/>
        </w:rPr>
        <w:t> </w:t>
      </w:r>
    </w:p>
    <w:p w14:paraId="02B51C84" w14:textId="77777777" w:rsidR="004D6811" w:rsidRDefault="004D6811" w:rsidP="004D6811">
      <w:pPr>
        <w:pStyle w:val="Standard"/>
        <w:rPr>
          <w:rFonts w:ascii="Arial" w:hAnsi="Arial" w:cs="Arial"/>
          <w:sz w:val="24"/>
        </w:rPr>
      </w:pPr>
    </w:p>
    <w:p w14:paraId="791393F2" w14:textId="77777777" w:rsidR="004D6811" w:rsidRDefault="004D6811" w:rsidP="004D6811">
      <w:pPr>
        <w:pStyle w:val="Standard"/>
        <w:rPr>
          <w:rFonts w:ascii="Palatino Linotype" w:hAnsi="Palatino Linotype" w:cs="F"/>
          <w:b/>
          <w:sz w:val="24"/>
          <w:szCs w:val="26"/>
        </w:rPr>
      </w:pPr>
    </w:p>
    <w:p w14:paraId="7F1F9A42" w14:textId="77777777" w:rsidR="004D6811" w:rsidRDefault="004D6811" w:rsidP="004D6811">
      <w:pPr>
        <w:pStyle w:val="Standard"/>
        <w:rPr>
          <w:rFonts w:ascii="Palatino Linotype" w:hAnsi="Palatino Linotype" w:cs="F"/>
          <w:b/>
          <w:sz w:val="24"/>
          <w:szCs w:val="26"/>
        </w:rPr>
      </w:pPr>
    </w:p>
    <w:p w14:paraId="7A6DC3BE" w14:textId="77777777" w:rsidR="004D6811" w:rsidRDefault="004D6811" w:rsidP="004D6811">
      <w:pPr>
        <w:pStyle w:val="Standard"/>
        <w:rPr>
          <w:rFonts w:ascii="Palatino Linotype" w:hAnsi="Palatino Linotype"/>
        </w:rPr>
      </w:pPr>
    </w:p>
    <w:p w14:paraId="5FFB5445" w14:textId="77777777" w:rsidR="004D6811" w:rsidRDefault="004D6811" w:rsidP="004D6811">
      <w:pPr>
        <w:pStyle w:val="Standard"/>
        <w:spacing w:line="360" w:lineRule="auto"/>
        <w:rPr>
          <w:rFonts w:ascii="Palatino Linotype" w:hAnsi="Palatino Linotype"/>
        </w:rPr>
      </w:pPr>
    </w:p>
    <w:p w14:paraId="11FCAC10" w14:textId="4BC4EADF" w:rsidR="00A5113B" w:rsidRPr="006C2A0D" w:rsidRDefault="00A5113B" w:rsidP="002F77D2">
      <w:pPr>
        <w:spacing w:line="360" w:lineRule="auto"/>
        <w:rPr>
          <w:rFonts w:ascii="Palatino Linotype" w:hAnsi="Palatino Linotype" w:cstheme="minorHAnsi"/>
          <w:sz w:val="24"/>
          <w:szCs w:val="24"/>
        </w:rPr>
      </w:pPr>
    </w:p>
    <w:sectPr w:rsidR="00A5113B" w:rsidRPr="006C2A0D" w:rsidSect="00AA12F3">
      <w:headerReference w:type="default" r:id="rId10"/>
      <w:pgSz w:w="11906" w:h="16838"/>
      <w:pgMar w:top="1417" w:right="849" w:bottom="709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DB6FB" w14:textId="77777777" w:rsidR="00C94C79" w:rsidRDefault="00C94C79" w:rsidP="009C3D5B">
      <w:pPr>
        <w:spacing w:after="0" w:line="240" w:lineRule="auto"/>
      </w:pPr>
      <w:r>
        <w:separator/>
      </w:r>
    </w:p>
  </w:endnote>
  <w:endnote w:type="continuationSeparator" w:id="0">
    <w:p w14:paraId="5CA94AC5" w14:textId="77777777" w:rsidR="00C94C79" w:rsidRDefault="00C94C79" w:rsidP="009C3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F4DDE" w14:textId="77777777" w:rsidR="00C94C79" w:rsidRDefault="00C94C79" w:rsidP="009C3D5B">
      <w:pPr>
        <w:spacing w:after="0" w:line="240" w:lineRule="auto"/>
      </w:pPr>
      <w:r>
        <w:separator/>
      </w:r>
    </w:p>
  </w:footnote>
  <w:footnote w:type="continuationSeparator" w:id="0">
    <w:p w14:paraId="7801A6AC" w14:textId="77777777" w:rsidR="00C94C79" w:rsidRDefault="00C94C79" w:rsidP="009C3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2"/>
      <w:gridCol w:w="5386"/>
      <w:gridCol w:w="851"/>
      <w:gridCol w:w="1554"/>
    </w:tblGrid>
    <w:tr w:rsidR="00C706A7" w:rsidRPr="006C2A0D" w14:paraId="663217AA" w14:textId="77777777" w:rsidTr="00161714">
      <w:tc>
        <w:tcPr>
          <w:tcW w:w="2122" w:type="dxa"/>
          <w:vMerge w:val="restart"/>
        </w:tcPr>
        <w:p w14:paraId="0DC27EB4" w14:textId="77777777" w:rsidR="00C706A7" w:rsidRPr="006C2A0D" w:rsidRDefault="00C706A7" w:rsidP="00AA12F3">
          <w:pPr>
            <w:pStyle w:val="Cabealho"/>
            <w:rPr>
              <w:rFonts w:ascii="Palatino Linotype" w:hAnsi="Palatino Linotype"/>
            </w:rPr>
          </w:pPr>
        </w:p>
        <w:p w14:paraId="798385E5" w14:textId="2303598F" w:rsidR="00C706A7" w:rsidRPr="006C2A0D" w:rsidRDefault="00C706A7" w:rsidP="006A4A1D">
          <w:pPr>
            <w:tabs>
              <w:tab w:val="left" w:pos="0"/>
            </w:tabs>
            <w:jc w:val="center"/>
            <w:rPr>
              <w:rFonts w:ascii="Palatino Linotype" w:hAnsi="Palatino Linotype"/>
            </w:rPr>
          </w:pPr>
          <w:r>
            <w:rPr>
              <w:rFonts w:ascii="Palatino Linotype" w:hAnsi="Palatino Linotype"/>
              <w:noProof/>
            </w:rPr>
            <w:drawing>
              <wp:inline distT="0" distB="0" distL="0" distR="0" wp14:anchorId="528F91EC" wp14:editId="7613D32D">
                <wp:extent cx="933450" cy="77123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317" cy="7736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45B49F79" w14:textId="75096237" w:rsidR="00C706A7" w:rsidRPr="006C2A0D" w:rsidRDefault="00C706A7" w:rsidP="00AA12F3">
          <w:pPr>
            <w:pStyle w:val="Cabealho"/>
            <w:jc w:val="center"/>
            <w:rPr>
              <w:rFonts w:ascii="Palatino Linotype" w:hAnsi="Palatino Linotype"/>
              <w:sz w:val="20"/>
            </w:rPr>
          </w:pPr>
        </w:p>
      </w:tc>
      <w:tc>
        <w:tcPr>
          <w:tcW w:w="851" w:type="dxa"/>
          <w:vAlign w:val="center"/>
        </w:tcPr>
        <w:p w14:paraId="3D56B368" w14:textId="77777777" w:rsidR="00C706A7" w:rsidRPr="006C2A0D" w:rsidRDefault="00C706A7" w:rsidP="00AA12F3">
          <w:pPr>
            <w:pStyle w:val="Cabealho"/>
            <w:jc w:val="center"/>
            <w:rPr>
              <w:rFonts w:ascii="Palatino Linotype" w:hAnsi="Palatino Linotype"/>
              <w:sz w:val="16"/>
              <w:szCs w:val="16"/>
            </w:rPr>
          </w:pPr>
          <w:r w:rsidRPr="006C2A0D">
            <w:rPr>
              <w:rFonts w:ascii="Palatino Linotype" w:hAnsi="Palatino Linotype"/>
              <w:sz w:val="16"/>
              <w:szCs w:val="16"/>
            </w:rPr>
            <w:t>Código:</w:t>
          </w:r>
        </w:p>
      </w:tc>
      <w:tc>
        <w:tcPr>
          <w:tcW w:w="1554" w:type="dxa"/>
          <w:vAlign w:val="center"/>
        </w:tcPr>
        <w:p w14:paraId="422D7D70" w14:textId="51753F6A" w:rsidR="00C706A7" w:rsidRPr="006C2A0D" w:rsidRDefault="00C706A7" w:rsidP="00AA12F3">
          <w:pPr>
            <w:pStyle w:val="Cabealho"/>
            <w:jc w:val="center"/>
            <w:rPr>
              <w:rFonts w:ascii="Palatino Linotype" w:hAnsi="Palatino Linotype"/>
            </w:rPr>
          </w:pPr>
          <w:r>
            <w:rPr>
              <w:rFonts w:ascii="Palatino Linotype" w:hAnsi="Palatino Linotype"/>
            </w:rPr>
            <w:t xml:space="preserve">DOC SGT </w:t>
          </w:r>
        </w:p>
      </w:tc>
    </w:tr>
    <w:tr w:rsidR="00C706A7" w:rsidRPr="006C2A0D" w14:paraId="27A01BD5" w14:textId="77777777" w:rsidTr="00161714">
      <w:tc>
        <w:tcPr>
          <w:tcW w:w="2122" w:type="dxa"/>
          <w:vMerge/>
        </w:tcPr>
        <w:p w14:paraId="2AC2B6C4" w14:textId="77777777" w:rsidR="00C706A7" w:rsidRPr="006C2A0D" w:rsidRDefault="00C706A7" w:rsidP="00AA12F3">
          <w:pPr>
            <w:pStyle w:val="Cabealho"/>
            <w:rPr>
              <w:rFonts w:ascii="Palatino Linotype" w:hAnsi="Palatino Linotype"/>
            </w:rPr>
          </w:pPr>
        </w:p>
      </w:tc>
      <w:tc>
        <w:tcPr>
          <w:tcW w:w="5386" w:type="dxa"/>
          <w:vAlign w:val="center"/>
        </w:tcPr>
        <w:p w14:paraId="0AEA4729" w14:textId="342D907E" w:rsidR="00C706A7" w:rsidRPr="006C2A0D" w:rsidRDefault="00C440F1" w:rsidP="00AA12F3">
          <w:pPr>
            <w:pStyle w:val="Cabealho"/>
            <w:jc w:val="center"/>
            <w:rPr>
              <w:rFonts w:ascii="Palatino Linotype" w:hAnsi="Palatino Linotype"/>
              <w:sz w:val="20"/>
            </w:rPr>
          </w:pPr>
          <w:r>
            <w:rPr>
              <w:rFonts w:ascii="Palatino Linotype" w:hAnsi="Palatino Linotype"/>
              <w:b/>
            </w:rPr>
            <w:t>Segurança da Informação</w:t>
          </w:r>
        </w:p>
      </w:tc>
      <w:tc>
        <w:tcPr>
          <w:tcW w:w="851" w:type="dxa"/>
          <w:vAlign w:val="center"/>
        </w:tcPr>
        <w:p w14:paraId="58B8AE15" w14:textId="77777777" w:rsidR="00C706A7" w:rsidRPr="006C2A0D" w:rsidRDefault="00C706A7" w:rsidP="00AA12F3">
          <w:pPr>
            <w:pStyle w:val="Cabealho"/>
            <w:jc w:val="center"/>
            <w:rPr>
              <w:rFonts w:ascii="Palatino Linotype" w:hAnsi="Palatino Linotype"/>
              <w:sz w:val="16"/>
              <w:szCs w:val="16"/>
            </w:rPr>
          </w:pPr>
          <w:r w:rsidRPr="006C2A0D">
            <w:rPr>
              <w:rFonts w:ascii="Palatino Linotype" w:hAnsi="Palatino Linotype"/>
              <w:sz w:val="16"/>
              <w:szCs w:val="16"/>
            </w:rPr>
            <w:t>Data:</w:t>
          </w:r>
        </w:p>
      </w:tc>
      <w:tc>
        <w:tcPr>
          <w:tcW w:w="1554" w:type="dxa"/>
          <w:vAlign w:val="center"/>
        </w:tcPr>
        <w:p w14:paraId="3FFB52B1" w14:textId="2F997F56" w:rsidR="00C706A7" w:rsidRPr="006C2A0D" w:rsidRDefault="00AA6031" w:rsidP="00AA12F3">
          <w:pPr>
            <w:pStyle w:val="Cabealho"/>
            <w:jc w:val="center"/>
            <w:rPr>
              <w:rFonts w:ascii="Palatino Linotype" w:hAnsi="Palatino Linotype"/>
            </w:rPr>
          </w:pPr>
          <w:r>
            <w:rPr>
              <w:rFonts w:ascii="Palatino Linotype" w:hAnsi="Palatino Linotype"/>
            </w:rPr>
            <w:t>05/12</w:t>
          </w:r>
          <w:r w:rsidR="00C706A7">
            <w:rPr>
              <w:rFonts w:ascii="Palatino Linotype" w:hAnsi="Palatino Linotype"/>
            </w:rPr>
            <w:t>/202</w:t>
          </w:r>
          <w:r>
            <w:rPr>
              <w:rFonts w:ascii="Palatino Linotype" w:hAnsi="Palatino Linotype"/>
            </w:rPr>
            <w:t>3</w:t>
          </w:r>
        </w:p>
      </w:tc>
    </w:tr>
    <w:tr w:rsidR="00C706A7" w:rsidRPr="006C2A0D" w14:paraId="6FC17D33" w14:textId="77777777" w:rsidTr="00161714">
      <w:tc>
        <w:tcPr>
          <w:tcW w:w="2122" w:type="dxa"/>
          <w:vMerge/>
        </w:tcPr>
        <w:p w14:paraId="44587174" w14:textId="77777777" w:rsidR="00C706A7" w:rsidRPr="006C2A0D" w:rsidRDefault="00C706A7" w:rsidP="00AA12F3">
          <w:pPr>
            <w:pStyle w:val="Cabealho"/>
            <w:rPr>
              <w:rFonts w:ascii="Palatino Linotype" w:hAnsi="Palatino Linotype"/>
            </w:rPr>
          </w:pPr>
        </w:p>
      </w:tc>
      <w:tc>
        <w:tcPr>
          <w:tcW w:w="5386" w:type="dxa"/>
          <w:vMerge w:val="restart"/>
          <w:vAlign w:val="center"/>
        </w:tcPr>
        <w:p w14:paraId="10053607" w14:textId="4BC18393" w:rsidR="006703C7" w:rsidRPr="006C2A0D" w:rsidRDefault="00C440F1" w:rsidP="006703C7">
          <w:pPr>
            <w:pStyle w:val="Cabealho"/>
            <w:jc w:val="center"/>
            <w:rPr>
              <w:rFonts w:ascii="Palatino Linotype" w:hAnsi="Palatino Linotype"/>
              <w:b/>
              <w:sz w:val="28"/>
            </w:rPr>
          </w:pPr>
          <w:r>
            <w:rPr>
              <w:rFonts w:ascii="Palatino Linotype" w:hAnsi="Palatino Linotype"/>
              <w:b/>
              <w:sz w:val="28"/>
            </w:rPr>
            <w:t>Política de Privacidade de Dados</w:t>
          </w:r>
          <w:r w:rsidR="006703C7">
            <w:rPr>
              <w:rFonts w:ascii="Palatino Linotype" w:hAnsi="Palatino Linotype"/>
              <w:b/>
              <w:sz w:val="28"/>
            </w:rPr>
            <w:t xml:space="preserve"> Pessoais</w:t>
          </w:r>
        </w:p>
      </w:tc>
      <w:tc>
        <w:tcPr>
          <w:tcW w:w="851" w:type="dxa"/>
          <w:vAlign w:val="center"/>
        </w:tcPr>
        <w:p w14:paraId="32F65793" w14:textId="71F92D6F" w:rsidR="00C706A7" w:rsidRPr="006C2A0D" w:rsidRDefault="00C706A7" w:rsidP="00AA12F3">
          <w:pPr>
            <w:pStyle w:val="Cabealho"/>
            <w:jc w:val="center"/>
            <w:rPr>
              <w:rFonts w:ascii="Palatino Linotype" w:hAnsi="Palatino Linotype"/>
              <w:sz w:val="16"/>
              <w:szCs w:val="16"/>
            </w:rPr>
          </w:pPr>
          <w:r w:rsidRPr="006C2A0D">
            <w:rPr>
              <w:rFonts w:ascii="Palatino Linotype" w:hAnsi="Palatino Linotype"/>
              <w:sz w:val="16"/>
              <w:szCs w:val="16"/>
            </w:rPr>
            <w:t>Revisão:</w:t>
          </w:r>
        </w:p>
      </w:tc>
      <w:tc>
        <w:tcPr>
          <w:tcW w:w="1554" w:type="dxa"/>
          <w:vAlign w:val="center"/>
        </w:tcPr>
        <w:p w14:paraId="2F8A829D" w14:textId="34FF427F" w:rsidR="00C706A7" w:rsidRPr="006C2A0D" w:rsidRDefault="00C706A7" w:rsidP="00AA12F3">
          <w:pPr>
            <w:pStyle w:val="Cabealho"/>
            <w:jc w:val="center"/>
            <w:rPr>
              <w:rFonts w:ascii="Palatino Linotype" w:hAnsi="Palatino Linotype"/>
            </w:rPr>
          </w:pPr>
          <w:r w:rsidRPr="006C2A0D">
            <w:rPr>
              <w:rFonts w:ascii="Palatino Linotype" w:hAnsi="Palatino Linotype"/>
            </w:rPr>
            <w:t>0</w:t>
          </w:r>
          <w:r w:rsidR="00AA6031">
            <w:rPr>
              <w:rFonts w:ascii="Palatino Linotype" w:hAnsi="Palatino Linotype"/>
            </w:rPr>
            <w:t>1</w:t>
          </w:r>
        </w:p>
      </w:tc>
    </w:tr>
    <w:tr w:rsidR="00C706A7" w:rsidRPr="006C2A0D" w14:paraId="1C4461BA" w14:textId="77777777" w:rsidTr="00161714">
      <w:tc>
        <w:tcPr>
          <w:tcW w:w="2122" w:type="dxa"/>
          <w:vMerge/>
        </w:tcPr>
        <w:p w14:paraId="6CED0842" w14:textId="77777777" w:rsidR="00C706A7" w:rsidRPr="006C2A0D" w:rsidRDefault="00C706A7" w:rsidP="00AA12F3">
          <w:pPr>
            <w:pStyle w:val="Cabealho"/>
            <w:rPr>
              <w:rFonts w:ascii="Palatino Linotype" w:hAnsi="Palatino Linotype"/>
            </w:rPr>
          </w:pPr>
        </w:p>
      </w:tc>
      <w:tc>
        <w:tcPr>
          <w:tcW w:w="5386" w:type="dxa"/>
          <w:vMerge/>
          <w:vAlign w:val="center"/>
        </w:tcPr>
        <w:p w14:paraId="5C62BA32" w14:textId="77777777" w:rsidR="00C706A7" w:rsidRPr="006C2A0D" w:rsidRDefault="00C706A7" w:rsidP="00AA12F3">
          <w:pPr>
            <w:pStyle w:val="Cabealho"/>
            <w:jc w:val="center"/>
            <w:rPr>
              <w:rFonts w:ascii="Palatino Linotype" w:hAnsi="Palatino Linotype"/>
            </w:rPr>
          </w:pPr>
        </w:p>
      </w:tc>
      <w:tc>
        <w:tcPr>
          <w:tcW w:w="851" w:type="dxa"/>
          <w:vAlign w:val="center"/>
        </w:tcPr>
        <w:p w14:paraId="528DF17F" w14:textId="77777777" w:rsidR="00C706A7" w:rsidRPr="006C2A0D" w:rsidRDefault="00C706A7" w:rsidP="00AA12F3">
          <w:pPr>
            <w:pStyle w:val="Cabealho"/>
            <w:jc w:val="center"/>
            <w:rPr>
              <w:rFonts w:ascii="Palatino Linotype" w:hAnsi="Palatino Linotype"/>
              <w:sz w:val="16"/>
              <w:szCs w:val="16"/>
            </w:rPr>
          </w:pPr>
          <w:r w:rsidRPr="006C2A0D">
            <w:rPr>
              <w:rFonts w:ascii="Palatino Linotype" w:hAnsi="Palatino Linotype"/>
              <w:sz w:val="16"/>
              <w:szCs w:val="16"/>
            </w:rPr>
            <w:t>Página:</w:t>
          </w:r>
        </w:p>
      </w:tc>
      <w:tc>
        <w:tcPr>
          <w:tcW w:w="1554" w:type="dxa"/>
          <w:vAlign w:val="center"/>
        </w:tcPr>
        <w:p w14:paraId="2A766D1B" w14:textId="77777777" w:rsidR="00C706A7" w:rsidRPr="006C2A0D" w:rsidRDefault="00C706A7" w:rsidP="00AA12F3">
          <w:pPr>
            <w:pStyle w:val="Cabealho"/>
            <w:jc w:val="center"/>
            <w:rPr>
              <w:rFonts w:ascii="Palatino Linotype" w:hAnsi="Palatino Linotype"/>
            </w:rPr>
          </w:pPr>
          <w:r w:rsidRPr="006C2A0D">
            <w:rPr>
              <w:rFonts w:ascii="Palatino Linotype" w:hAnsi="Palatino Linotype" w:cs="Tahoma"/>
              <w:sz w:val="14"/>
            </w:rPr>
            <w:t xml:space="preserve">Página </w:t>
          </w:r>
          <w:r w:rsidRPr="006C2A0D">
            <w:rPr>
              <w:rStyle w:val="Nmerodepgina"/>
              <w:rFonts w:ascii="Palatino Linotype" w:hAnsi="Palatino Linotype"/>
              <w:sz w:val="14"/>
            </w:rPr>
            <w:fldChar w:fldCharType="begin"/>
          </w:r>
          <w:r w:rsidRPr="006C2A0D">
            <w:rPr>
              <w:rStyle w:val="Nmerodepgina"/>
              <w:rFonts w:ascii="Palatino Linotype" w:hAnsi="Palatino Linotype"/>
              <w:sz w:val="14"/>
            </w:rPr>
            <w:instrText xml:space="preserve"> PAGE </w:instrText>
          </w:r>
          <w:r w:rsidRPr="006C2A0D">
            <w:rPr>
              <w:rStyle w:val="Nmerodepgina"/>
              <w:rFonts w:ascii="Palatino Linotype" w:hAnsi="Palatino Linotype"/>
              <w:sz w:val="14"/>
            </w:rPr>
            <w:fldChar w:fldCharType="separate"/>
          </w:r>
          <w:r w:rsidRPr="006C2A0D">
            <w:rPr>
              <w:rStyle w:val="Nmerodepgina"/>
              <w:rFonts w:ascii="Palatino Linotype" w:hAnsi="Palatino Linotype"/>
              <w:sz w:val="14"/>
            </w:rPr>
            <w:t>1</w:t>
          </w:r>
          <w:r w:rsidRPr="006C2A0D">
            <w:rPr>
              <w:rStyle w:val="Nmerodepgina"/>
              <w:rFonts w:ascii="Palatino Linotype" w:hAnsi="Palatino Linotype"/>
              <w:sz w:val="14"/>
            </w:rPr>
            <w:fldChar w:fldCharType="end"/>
          </w:r>
          <w:r w:rsidRPr="006C2A0D">
            <w:rPr>
              <w:rFonts w:ascii="Palatino Linotype" w:hAnsi="Palatino Linotype" w:cs="Tahoma"/>
              <w:sz w:val="14"/>
            </w:rPr>
            <w:t xml:space="preserve"> de </w:t>
          </w:r>
          <w:r w:rsidRPr="006C2A0D">
            <w:rPr>
              <w:rStyle w:val="Nmerodepgina"/>
              <w:rFonts w:ascii="Palatino Linotype" w:hAnsi="Palatino Linotype"/>
              <w:sz w:val="14"/>
            </w:rPr>
            <w:fldChar w:fldCharType="begin"/>
          </w:r>
          <w:r w:rsidRPr="006C2A0D">
            <w:rPr>
              <w:rStyle w:val="Nmerodepgina"/>
              <w:rFonts w:ascii="Palatino Linotype" w:hAnsi="Palatino Linotype"/>
              <w:sz w:val="14"/>
            </w:rPr>
            <w:instrText xml:space="preserve"> NUMPAGES </w:instrText>
          </w:r>
          <w:r w:rsidRPr="006C2A0D">
            <w:rPr>
              <w:rStyle w:val="Nmerodepgina"/>
              <w:rFonts w:ascii="Palatino Linotype" w:hAnsi="Palatino Linotype"/>
              <w:sz w:val="14"/>
            </w:rPr>
            <w:fldChar w:fldCharType="separate"/>
          </w:r>
          <w:r w:rsidRPr="006C2A0D">
            <w:rPr>
              <w:rStyle w:val="Nmerodepgina"/>
              <w:rFonts w:ascii="Palatino Linotype" w:hAnsi="Palatino Linotype"/>
              <w:sz w:val="14"/>
            </w:rPr>
            <w:t>1</w:t>
          </w:r>
          <w:r w:rsidRPr="006C2A0D">
            <w:rPr>
              <w:rStyle w:val="Nmerodepgina"/>
              <w:rFonts w:ascii="Palatino Linotype" w:hAnsi="Palatino Linotype"/>
              <w:sz w:val="14"/>
            </w:rPr>
            <w:fldChar w:fldCharType="end"/>
          </w:r>
        </w:p>
      </w:tc>
    </w:tr>
  </w:tbl>
  <w:p w14:paraId="0665E9E6" w14:textId="77777777" w:rsidR="00C706A7" w:rsidRDefault="00C706A7" w:rsidP="00AA12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7643"/>
    <w:multiLevelType w:val="hybridMultilevel"/>
    <w:tmpl w:val="942605B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641F4"/>
    <w:multiLevelType w:val="hybridMultilevel"/>
    <w:tmpl w:val="E774E3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52AAE"/>
    <w:multiLevelType w:val="hybridMultilevel"/>
    <w:tmpl w:val="46BC32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27478"/>
    <w:multiLevelType w:val="hybridMultilevel"/>
    <w:tmpl w:val="FF9E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87A17"/>
    <w:multiLevelType w:val="multilevel"/>
    <w:tmpl w:val="D71AB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114685C"/>
    <w:multiLevelType w:val="multilevel"/>
    <w:tmpl w:val="D71AB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1F5E06"/>
    <w:multiLevelType w:val="hybridMultilevel"/>
    <w:tmpl w:val="B7EA34AA"/>
    <w:lvl w:ilvl="0" w:tplc="B91611C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E23AB"/>
    <w:multiLevelType w:val="hybridMultilevel"/>
    <w:tmpl w:val="05C810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936CC"/>
    <w:multiLevelType w:val="multilevel"/>
    <w:tmpl w:val="C0CA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BF705B"/>
    <w:multiLevelType w:val="hybridMultilevel"/>
    <w:tmpl w:val="528E94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92EAC"/>
    <w:multiLevelType w:val="hybridMultilevel"/>
    <w:tmpl w:val="BF1A04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A3E67"/>
    <w:multiLevelType w:val="hybridMultilevel"/>
    <w:tmpl w:val="4F9EB2EC"/>
    <w:lvl w:ilvl="0" w:tplc="A934E4B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25428"/>
    <w:multiLevelType w:val="hybridMultilevel"/>
    <w:tmpl w:val="AA947B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C702E"/>
    <w:multiLevelType w:val="multilevel"/>
    <w:tmpl w:val="F3ACA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13372D0"/>
    <w:multiLevelType w:val="hybridMultilevel"/>
    <w:tmpl w:val="B22A7C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50F21"/>
    <w:multiLevelType w:val="hybridMultilevel"/>
    <w:tmpl w:val="73088B36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2C2302E"/>
    <w:multiLevelType w:val="multilevel"/>
    <w:tmpl w:val="32F2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731027"/>
    <w:multiLevelType w:val="hybridMultilevel"/>
    <w:tmpl w:val="A7C25086"/>
    <w:lvl w:ilvl="0" w:tplc="B91611C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73981"/>
    <w:multiLevelType w:val="hybridMultilevel"/>
    <w:tmpl w:val="88B657F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C5175"/>
    <w:multiLevelType w:val="hybridMultilevel"/>
    <w:tmpl w:val="6FD4B2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94614"/>
    <w:multiLevelType w:val="hybridMultilevel"/>
    <w:tmpl w:val="6838C6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C166F"/>
    <w:multiLevelType w:val="hybridMultilevel"/>
    <w:tmpl w:val="B4EA0F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E368C"/>
    <w:multiLevelType w:val="hybridMultilevel"/>
    <w:tmpl w:val="6BA89D90"/>
    <w:lvl w:ilvl="0" w:tplc="2FAE9316">
      <w:start w:val="1"/>
      <w:numFmt w:val="upperRoman"/>
      <w:lvlText w:val="%1."/>
      <w:lvlJc w:val="right"/>
      <w:pPr>
        <w:ind w:left="720" w:hanging="360"/>
      </w:pPr>
      <w:rPr>
        <w:rFonts w:ascii="Palatino Linotype" w:hAnsi="Palatino Linotype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4545B"/>
    <w:multiLevelType w:val="hybridMultilevel"/>
    <w:tmpl w:val="BD84F0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A2889"/>
    <w:multiLevelType w:val="hybridMultilevel"/>
    <w:tmpl w:val="87507BD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4088E"/>
    <w:multiLevelType w:val="multilevel"/>
    <w:tmpl w:val="DA36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3449638">
    <w:abstractNumId w:val="6"/>
  </w:num>
  <w:num w:numId="2" w16cid:durableId="729772046">
    <w:abstractNumId w:val="18"/>
  </w:num>
  <w:num w:numId="3" w16cid:durableId="1558708271">
    <w:abstractNumId w:val="17"/>
  </w:num>
  <w:num w:numId="4" w16cid:durableId="881867662">
    <w:abstractNumId w:val="2"/>
  </w:num>
  <w:num w:numId="5" w16cid:durableId="1957446983">
    <w:abstractNumId w:val="20"/>
  </w:num>
  <w:num w:numId="6" w16cid:durableId="1022898896">
    <w:abstractNumId w:val="0"/>
  </w:num>
  <w:num w:numId="7" w16cid:durableId="860320691">
    <w:abstractNumId w:val="13"/>
  </w:num>
  <w:num w:numId="8" w16cid:durableId="2020620650">
    <w:abstractNumId w:val="10"/>
  </w:num>
  <w:num w:numId="9" w16cid:durableId="867530650">
    <w:abstractNumId w:val="23"/>
  </w:num>
  <w:num w:numId="10" w16cid:durableId="134212336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1314405916">
    <w:abstractNumId w:val="14"/>
  </w:num>
  <w:num w:numId="12" w16cid:durableId="1185054313">
    <w:abstractNumId w:val="24"/>
  </w:num>
  <w:num w:numId="13" w16cid:durableId="822739515">
    <w:abstractNumId w:val="3"/>
  </w:num>
  <w:num w:numId="14" w16cid:durableId="683047480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1650012027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2026515672">
    <w:abstractNumId w:val="11"/>
  </w:num>
  <w:num w:numId="17" w16cid:durableId="1286230114">
    <w:abstractNumId w:val="22"/>
  </w:num>
  <w:num w:numId="18" w16cid:durableId="847404714">
    <w:abstractNumId w:val="15"/>
  </w:num>
  <w:num w:numId="19" w16cid:durableId="1458337278">
    <w:abstractNumId w:val="21"/>
  </w:num>
  <w:num w:numId="20" w16cid:durableId="384569116">
    <w:abstractNumId w:val="19"/>
  </w:num>
  <w:num w:numId="21" w16cid:durableId="1849365239">
    <w:abstractNumId w:val="4"/>
  </w:num>
  <w:num w:numId="22" w16cid:durableId="73862771">
    <w:abstractNumId w:val="1"/>
  </w:num>
  <w:num w:numId="23" w16cid:durableId="393966980">
    <w:abstractNumId w:val="9"/>
  </w:num>
  <w:num w:numId="24" w16cid:durableId="1090542472">
    <w:abstractNumId w:val="12"/>
  </w:num>
  <w:num w:numId="25" w16cid:durableId="1566799202">
    <w:abstractNumId w:val="5"/>
  </w:num>
  <w:num w:numId="26" w16cid:durableId="3537672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B1"/>
    <w:rsid w:val="00000199"/>
    <w:rsid w:val="000048F7"/>
    <w:rsid w:val="00017409"/>
    <w:rsid w:val="00026FB9"/>
    <w:rsid w:val="00041D59"/>
    <w:rsid w:val="00055C64"/>
    <w:rsid w:val="00064D05"/>
    <w:rsid w:val="00074AD5"/>
    <w:rsid w:val="000770A2"/>
    <w:rsid w:val="00077811"/>
    <w:rsid w:val="000A2767"/>
    <w:rsid w:val="000A5D02"/>
    <w:rsid w:val="000B1B58"/>
    <w:rsid w:val="000C184B"/>
    <w:rsid w:val="000F548E"/>
    <w:rsid w:val="001004BA"/>
    <w:rsid w:val="001238B1"/>
    <w:rsid w:val="001348E8"/>
    <w:rsid w:val="00152D8A"/>
    <w:rsid w:val="00161714"/>
    <w:rsid w:val="001A0374"/>
    <w:rsid w:val="001A1199"/>
    <w:rsid w:val="001A3A80"/>
    <w:rsid w:val="001C44DA"/>
    <w:rsid w:val="001C782A"/>
    <w:rsid w:val="001D5F7B"/>
    <w:rsid w:val="001F5A07"/>
    <w:rsid w:val="00204210"/>
    <w:rsid w:val="00205D8A"/>
    <w:rsid w:val="002257E6"/>
    <w:rsid w:val="0026242F"/>
    <w:rsid w:val="002738E2"/>
    <w:rsid w:val="002C6104"/>
    <w:rsid w:val="002D26DE"/>
    <w:rsid w:val="002E286D"/>
    <w:rsid w:val="002F1FBD"/>
    <w:rsid w:val="002F77D2"/>
    <w:rsid w:val="00311687"/>
    <w:rsid w:val="00322153"/>
    <w:rsid w:val="00342ABF"/>
    <w:rsid w:val="00347717"/>
    <w:rsid w:val="003501DB"/>
    <w:rsid w:val="003656DF"/>
    <w:rsid w:val="003804F9"/>
    <w:rsid w:val="00381B0F"/>
    <w:rsid w:val="003B307D"/>
    <w:rsid w:val="003B4707"/>
    <w:rsid w:val="003C1182"/>
    <w:rsid w:val="003D7E46"/>
    <w:rsid w:val="0045455E"/>
    <w:rsid w:val="004566ED"/>
    <w:rsid w:val="00476B13"/>
    <w:rsid w:val="00477AEC"/>
    <w:rsid w:val="004A06C4"/>
    <w:rsid w:val="004B31E8"/>
    <w:rsid w:val="004B3E03"/>
    <w:rsid w:val="004B7601"/>
    <w:rsid w:val="004D5A25"/>
    <w:rsid w:val="004D6811"/>
    <w:rsid w:val="004E7E69"/>
    <w:rsid w:val="004F134E"/>
    <w:rsid w:val="00500EC0"/>
    <w:rsid w:val="00505F01"/>
    <w:rsid w:val="00537589"/>
    <w:rsid w:val="00573442"/>
    <w:rsid w:val="005910DC"/>
    <w:rsid w:val="00593C63"/>
    <w:rsid w:val="005B31A6"/>
    <w:rsid w:val="005C257F"/>
    <w:rsid w:val="005F3042"/>
    <w:rsid w:val="00642B3E"/>
    <w:rsid w:val="006703C7"/>
    <w:rsid w:val="00671624"/>
    <w:rsid w:val="00686236"/>
    <w:rsid w:val="00691546"/>
    <w:rsid w:val="006A4A1D"/>
    <w:rsid w:val="006C2A0D"/>
    <w:rsid w:val="006E64EE"/>
    <w:rsid w:val="00701491"/>
    <w:rsid w:val="00703C09"/>
    <w:rsid w:val="00744FF3"/>
    <w:rsid w:val="00773B9E"/>
    <w:rsid w:val="00786640"/>
    <w:rsid w:val="007903F0"/>
    <w:rsid w:val="00792B92"/>
    <w:rsid w:val="0079335A"/>
    <w:rsid w:val="0079779C"/>
    <w:rsid w:val="007B4A63"/>
    <w:rsid w:val="007C4CB4"/>
    <w:rsid w:val="007F30FF"/>
    <w:rsid w:val="007F7D1F"/>
    <w:rsid w:val="00802C5E"/>
    <w:rsid w:val="00826521"/>
    <w:rsid w:val="00841A4D"/>
    <w:rsid w:val="00845DAA"/>
    <w:rsid w:val="008555C6"/>
    <w:rsid w:val="00862AFD"/>
    <w:rsid w:val="008838A1"/>
    <w:rsid w:val="00884F53"/>
    <w:rsid w:val="00892EC0"/>
    <w:rsid w:val="008B6980"/>
    <w:rsid w:val="008D5497"/>
    <w:rsid w:val="008E0C97"/>
    <w:rsid w:val="009250EF"/>
    <w:rsid w:val="00931121"/>
    <w:rsid w:val="0095573F"/>
    <w:rsid w:val="00960B2C"/>
    <w:rsid w:val="00963E65"/>
    <w:rsid w:val="00972C09"/>
    <w:rsid w:val="00972F8F"/>
    <w:rsid w:val="00985C95"/>
    <w:rsid w:val="009949B8"/>
    <w:rsid w:val="009A3FC6"/>
    <w:rsid w:val="009B0DE8"/>
    <w:rsid w:val="009C3D5B"/>
    <w:rsid w:val="009F6C1B"/>
    <w:rsid w:val="009F7483"/>
    <w:rsid w:val="00A2042F"/>
    <w:rsid w:val="00A213A9"/>
    <w:rsid w:val="00A36223"/>
    <w:rsid w:val="00A5113B"/>
    <w:rsid w:val="00A55797"/>
    <w:rsid w:val="00AA12F3"/>
    <w:rsid w:val="00AA6031"/>
    <w:rsid w:val="00AB2753"/>
    <w:rsid w:val="00AC68DD"/>
    <w:rsid w:val="00AD7A0F"/>
    <w:rsid w:val="00AE493D"/>
    <w:rsid w:val="00AE7977"/>
    <w:rsid w:val="00B274E0"/>
    <w:rsid w:val="00B459AD"/>
    <w:rsid w:val="00B6170F"/>
    <w:rsid w:val="00B9621D"/>
    <w:rsid w:val="00BA4D0C"/>
    <w:rsid w:val="00BA79CF"/>
    <w:rsid w:val="00BB33C2"/>
    <w:rsid w:val="00BB650A"/>
    <w:rsid w:val="00BE3281"/>
    <w:rsid w:val="00BE5157"/>
    <w:rsid w:val="00BE5663"/>
    <w:rsid w:val="00C04DCB"/>
    <w:rsid w:val="00C21B81"/>
    <w:rsid w:val="00C440F1"/>
    <w:rsid w:val="00C4704E"/>
    <w:rsid w:val="00C541B1"/>
    <w:rsid w:val="00C706A7"/>
    <w:rsid w:val="00C74671"/>
    <w:rsid w:val="00C94C79"/>
    <w:rsid w:val="00C9597E"/>
    <w:rsid w:val="00CB1A11"/>
    <w:rsid w:val="00CB34F9"/>
    <w:rsid w:val="00CD4BD6"/>
    <w:rsid w:val="00CF0056"/>
    <w:rsid w:val="00D054F2"/>
    <w:rsid w:val="00D4345A"/>
    <w:rsid w:val="00D8547A"/>
    <w:rsid w:val="00D90043"/>
    <w:rsid w:val="00D9492B"/>
    <w:rsid w:val="00D94F45"/>
    <w:rsid w:val="00DC4C40"/>
    <w:rsid w:val="00DD3A38"/>
    <w:rsid w:val="00DF25B9"/>
    <w:rsid w:val="00DF7579"/>
    <w:rsid w:val="00E033F6"/>
    <w:rsid w:val="00E13C7A"/>
    <w:rsid w:val="00E254E1"/>
    <w:rsid w:val="00E26E88"/>
    <w:rsid w:val="00E60FBB"/>
    <w:rsid w:val="00E779FE"/>
    <w:rsid w:val="00E77E10"/>
    <w:rsid w:val="00E83C4B"/>
    <w:rsid w:val="00EA424F"/>
    <w:rsid w:val="00EB1DE4"/>
    <w:rsid w:val="00ED5F90"/>
    <w:rsid w:val="00EF6299"/>
    <w:rsid w:val="00F01A9F"/>
    <w:rsid w:val="00F06094"/>
    <w:rsid w:val="00F11D10"/>
    <w:rsid w:val="00F849A4"/>
    <w:rsid w:val="00F9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F45185C"/>
  <w15:docId w15:val="{7350ECA5-E5FC-4BBD-9500-8844D9CD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9492B"/>
    <w:pPr>
      <w:keepNext/>
      <w:keepLines/>
      <w:spacing w:after="60"/>
      <w:outlineLvl w:val="0"/>
    </w:pPr>
    <w:rPr>
      <w:rFonts w:ascii="Palatino Linotype" w:eastAsiaTheme="majorEastAsia" w:hAnsi="Palatino Linotype" w:cstheme="majorBidi"/>
      <w:b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E3281"/>
    <w:pPr>
      <w:keepNext/>
      <w:keepLines/>
      <w:spacing w:after="120"/>
      <w:outlineLvl w:val="1"/>
    </w:pPr>
    <w:rPr>
      <w:rFonts w:ascii="Palatino Linotype" w:eastAsiaTheme="majorEastAsia" w:hAnsi="Palatino Linotype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13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492B"/>
    <w:rPr>
      <w:rFonts w:ascii="Palatino Linotype" w:eastAsiaTheme="majorEastAsia" w:hAnsi="Palatino Linotype" w:cstheme="majorBidi"/>
      <w:b/>
      <w:color w:val="000000" w:themeColor="text1"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BE3281"/>
    <w:rPr>
      <w:rFonts w:ascii="Palatino Linotype" w:eastAsiaTheme="majorEastAsia" w:hAnsi="Palatino Linotype" w:cstheme="majorBidi"/>
      <w:b/>
      <w:sz w:val="24"/>
      <w:szCs w:val="26"/>
    </w:rPr>
  </w:style>
  <w:style w:type="paragraph" w:styleId="PargrafodaLista">
    <w:name w:val="List Paragraph"/>
    <w:basedOn w:val="Normal"/>
    <w:uiPriority w:val="34"/>
    <w:qFormat/>
    <w:rsid w:val="00D9492B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A213A9"/>
    <w:pPr>
      <w:spacing w:before="240" w:after="0"/>
      <w:outlineLvl w:val="9"/>
    </w:pPr>
    <w:rPr>
      <w:rFonts w:asciiTheme="majorHAnsi" w:hAnsiTheme="majorHAnsi"/>
      <w:b w:val="0"/>
      <w:color w:val="2E74B5" w:themeColor="accent1" w:themeShade="BF"/>
      <w:sz w:val="32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960B2C"/>
    <w:pPr>
      <w:tabs>
        <w:tab w:val="left" w:pos="880"/>
        <w:tab w:val="right" w:leader="dot" w:pos="9913"/>
      </w:tabs>
      <w:spacing w:after="100"/>
      <w:ind w:left="567" w:hanging="141"/>
    </w:pPr>
    <w:rPr>
      <w:rFonts w:eastAsiaTheme="minorEastAsia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6C2A0D"/>
    <w:pPr>
      <w:tabs>
        <w:tab w:val="left" w:pos="567"/>
        <w:tab w:val="right" w:leader="dot" w:pos="9913"/>
      </w:tabs>
      <w:spacing w:after="100"/>
    </w:pPr>
    <w:rPr>
      <w:rFonts w:ascii="Palatino Linotype" w:eastAsiaTheme="minorEastAsia" w:hAnsi="Palatino Linotype" w:cstheme="minorHAnsi"/>
      <w:noProof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A213A9"/>
    <w:pPr>
      <w:spacing w:after="100"/>
      <w:ind w:left="440"/>
    </w:pPr>
    <w:rPr>
      <w:rFonts w:eastAsiaTheme="minorEastAsia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A213A9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A213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C3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3D5B"/>
  </w:style>
  <w:style w:type="paragraph" w:styleId="Rodap">
    <w:name w:val="footer"/>
    <w:basedOn w:val="Normal"/>
    <w:link w:val="RodapChar"/>
    <w:uiPriority w:val="99"/>
    <w:unhideWhenUsed/>
    <w:rsid w:val="009C3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3D5B"/>
  </w:style>
  <w:style w:type="table" w:styleId="Tabelacomgrade">
    <w:name w:val="Table Grid"/>
    <w:basedOn w:val="Tabelanormal"/>
    <w:uiPriority w:val="39"/>
    <w:rsid w:val="00A51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3E6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E65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rsid w:val="00AA12F3"/>
  </w:style>
  <w:style w:type="character" w:styleId="MenoPendente">
    <w:name w:val="Unresolved Mention"/>
    <w:basedOn w:val="Fontepargpadro"/>
    <w:uiPriority w:val="99"/>
    <w:semiHidden/>
    <w:unhideWhenUsed/>
    <w:rsid w:val="002F1FBD"/>
    <w:rPr>
      <w:color w:val="605E5C"/>
      <w:shd w:val="clear" w:color="auto" w:fill="E1DFDD"/>
    </w:rPr>
  </w:style>
  <w:style w:type="paragraph" w:customStyle="1" w:styleId="Standard">
    <w:name w:val="Standard"/>
    <w:rsid w:val="005F3042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Cs w:val="24"/>
      <w:lang w:eastAsia="zh-CN"/>
    </w:rPr>
  </w:style>
  <w:style w:type="paragraph" w:styleId="NormalWeb">
    <w:name w:val="Normal (Web)"/>
    <w:basedOn w:val="Normal"/>
    <w:unhideWhenUsed/>
    <w:rsid w:val="00C4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40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carregado@cartorioghizz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E44C3-63CC-4595-A7EA-853818D8C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11</Pages>
  <Words>2682</Words>
  <Characters>14484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Lencina</dc:creator>
  <cp:keywords/>
  <dc:description/>
  <cp:lastModifiedBy>Bruna Domingos</cp:lastModifiedBy>
  <cp:revision>20</cp:revision>
  <cp:lastPrinted>2021-10-15T18:37:00Z</cp:lastPrinted>
  <dcterms:created xsi:type="dcterms:W3CDTF">2021-09-15T19:18:00Z</dcterms:created>
  <dcterms:modified xsi:type="dcterms:W3CDTF">2023-12-06T17:43:00Z</dcterms:modified>
</cp:coreProperties>
</file>